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C287D">
      <w:pPr>
        <w:pStyle w:val="2"/>
      </w:pPr>
      <w:r>
        <w:rPr>
          <w:rFonts w:hint="eastAsia"/>
        </w:rPr>
        <w:t>标准换版</w:t>
      </w:r>
      <w:r>
        <w:rPr>
          <w:rFonts w:hint="eastAsia"/>
          <w:lang w:val="en-US" w:eastAsia="zh-CN"/>
        </w:rPr>
        <w:t>实施方案</w:t>
      </w:r>
      <w:r>
        <w:rPr>
          <w:rFonts w:hint="eastAsia"/>
        </w:rPr>
        <w:t>：</w:t>
      </w:r>
    </w:p>
    <w:p w14:paraId="4AE10064">
      <w:pPr>
        <w:pStyle w:val="2"/>
        <w:numPr>
          <w:ilvl w:val="0"/>
          <w:numId w:val="1"/>
        </w:numPr>
        <w:rPr>
          <w:sz w:val="24"/>
        </w:rPr>
      </w:pPr>
      <w:r>
        <w:rPr>
          <w:rFonts w:hint="eastAsia"/>
          <w:sz w:val="24"/>
        </w:rPr>
        <w:t>标准实施时间</w:t>
      </w:r>
    </w:p>
    <w:p w14:paraId="0392F9D4"/>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920"/>
        <w:gridCol w:w="3697"/>
        <w:gridCol w:w="2131"/>
      </w:tblGrid>
      <w:tr w14:paraId="0EFB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14:paraId="624FC5BB">
            <w:pPr>
              <w:jc w:val="center"/>
            </w:pPr>
            <w:r>
              <w:rPr>
                <w:rFonts w:hint="eastAsia"/>
              </w:rPr>
              <w:t>序号</w:t>
            </w:r>
          </w:p>
        </w:tc>
        <w:tc>
          <w:tcPr>
            <w:tcW w:w="1920" w:type="dxa"/>
          </w:tcPr>
          <w:p w14:paraId="1A80DC5B">
            <w:pPr>
              <w:jc w:val="center"/>
            </w:pPr>
            <w:r>
              <w:rPr>
                <w:rFonts w:hint="eastAsia"/>
              </w:rPr>
              <w:t>标准号</w:t>
            </w:r>
          </w:p>
        </w:tc>
        <w:tc>
          <w:tcPr>
            <w:tcW w:w="3697" w:type="dxa"/>
          </w:tcPr>
          <w:p w14:paraId="60598F60">
            <w:pPr>
              <w:jc w:val="center"/>
            </w:pPr>
            <w:r>
              <w:rPr>
                <w:rFonts w:hint="eastAsia"/>
              </w:rPr>
              <w:t>标准名称</w:t>
            </w:r>
          </w:p>
        </w:tc>
        <w:tc>
          <w:tcPr>
            <w:tcW w:w="2131" w:type="dxa"/>
          </w:tcPr>
          <w:p w14:paraId="4D41934D">
            <w:pPr>
              <w:jc w:val="center"/>
            </w:pPr>
            <w:r>
              <w:rPr>
                <w:rFonts w:hint="eastAsia"/>
              </w:rPr>
              <w:t>实施时间</w:t>
            </w:r>
          </w:p>
        </w:tc>
      </w:tr>
      <w:tr w14:paraId="2B3C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14:paraId="21BE4E7B">
            <w:pPr>
              <w:jc w:val="center"/>
            </w:pPr>
            <w:r>
              <w:rPr>
                <w:rFonts w:hint="eastAsia"/>
              </w:rPr>
              <w:t>1</w:t>
            </w:r>
          </w:p>
        </w:tc>
        <w:tc>
          <w:tcPr>
            <w:tcW w:w="1920" w:type="dxa"/>
          </w:tcPr>
          <w:p w14:paraId="4DDF894E">
            <w:pPr>
              <w:rPr>
                <w:rFonts w:hint="default" w:eastAsiaTheme="minorEastAsia"/>
                <w:lang w:val="en-US" w:eastAsia="zh-CN"/>
              </w:rPr>
            </w:pPr>
            <w:r>
              <w:rPr>
                <w:rFonts w:hint="eastAsia"/>
              </w:rPr>
              <w:t>GB</w:t>
            </w:r>
            <w:r>
              <w:rPr>
                <w:rFonts w:hint="eastAsia"/>
                <w:lang w:val="en-US" w:eastAsia="zh-CN"/>
              </w:rPr>
              <w:t xml:space="preserve"> 20052-2024</w:t>
            </w:r>
          </w:p>
        </w:tc>
        <w:tc>
          <w:tcPr>
            <w:tcW w:w="3697" w:type="dxa"/>
          </w:tcPr>
          <w:p w14:paraId="6AD48198">
            <w:pPr>
              <w:rPr>
                <w:rFonts w:hint="default" w:eastAsiaTheme="minorEastAsia"/>
                <w:lang w:val="en-US" w:eastAsia="zh-CN"/>
              </w:rPr>
            </w:pPr>
            <w:r>
              <w:rPr>
                <w:rFonts w:hint="eastAsia"/>
                <w:lang w:val="en-US" w:eastAsia="zh-CN"/>
              </w:rPr>
              <w:t>电力变压器能效限定值及能效等级</w:t>
            </w:r>
          </w:p>
        </w:tc>
        <w:tc>
          <w:tcPr>
            <w:tcW w:w="2131" w:type="dxa"/>
          </w:tcPr>
          <w:p w14:paraId="7F7C30E8">
            <w:pPr>
              <w:rPr>
                <w:rFonts w:hint="default" w:eastAsiaTheme="minorEastAsia"/>
                <w:lang w:val="en-US" w:eastAsia="zh-CN"/>
              </w:rPr>
            </w:pPr>
            <w:r>
              <w:rPr>
                <w:rFonts w:hint="eastAsia"/>
                <w:lang w:val="en-US" w:eastAsia="zh-CN"/>
              </w:rPr>
              <w:t>2025-02-01</w:t>
            </w:r>
          </w:p>
        </w:tc>
      </w:tr>
    </w:tbl>
    <w:p w14:paraId="302B99E2"/>
    <w:p w14:paraId="4A3A2C34">
      <w:pPr>
        <w:pStyle w:val="2"/>
        <w:numPr>
          <w:ilvl w:val="0"/>
          <w:numId w:val="1"/>
        </w:numPr>
        <w:rPr>
          <w:sz w:val="24"/>
        </w:rPr>
      </w:pPr>
      <w:r>
        <w:rPr>
          <w:rFonts w:hint="eastAsia"/>
          <w:sz w:val="24"/>
        </w:rPr>
        <w:t>换版和截止时间</w:t>
      </w:r>
    </w:p>
    <w:p w14:paraId="4A54B028"/>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E08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2CDBC80">
            <w:pPr>
              <w:jc w:val="center"/>
            </w:pPr>
            <w:r>
              <w:rPr>
                <w:rFonts w:hint="eastAsia"/>
              </w:rPr>
              <w:t>换版开始时间</w:t>
            </w:r>
          </w:p>
        </w:tc>
        <w:tc>
          <w:tcPr>
            <w:tcW w:w="4261" w:type="dxa"/>
          </w:tcPr>
          <w:p w14:paraId="5381312A">
            <w:pPr>
              <w:jc w:val="center"/>
            </w:pPr>
            <w:r>
              <w:rPr>
                <w:rFonts w:hint="eastAsia"/>
              </w:rPr>
              <w:t>换版截止时间</w:t>
            </w:r>
          </w:p>
        </w:tc>
      </w:tr>
      <w:tr w14:paraId="35F1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5CCC8DD">
            <w:pPr>
              <w:jc w:val="center"/>
              <w:rPr>
                <w:rFonts w:hint="default" w:eastAsiaTheme="minorEastAsia"/>
                <w:lang w:val="en-US" w:eastAsia="zh-CN"/>
              </w:rPr>
            </w:pPr>
            <w:r>
              <w:rPr>
                <w:rFonts w:hint="eastAsia"/>
              </w:rPr>
              <w:t>202</w:t>
            </w:r>
            <w:r>
              <w:rPr>
                <w:rFonts w:hint="eastAsia"/>
                <w:lang w:val="en-US" w:eastAsia="zh-CN"/>
              </w:rPr>
              <w:t>4</w:t>
            </w:r>
            <w:r>
              <w:rPr>
                <w:rFonts w:hint="eastAsia"/>
              </w:rPr>
              <w:t>-0</w:t>
            </w:r>
            <w:r>
              <w:rPr>
                <w:rFonts w:hint="eastAsia"/>
                <w:lang w:val="en-US" w:eastAsia="zh-CN"/>
              </w:rPr>
              <w:t>7-25</w:t>
            </w:r>
          </w:p>
        </w:tc>
        <w:tc>
          <w:tcPr>
            <w:tcW w:w="4261" w:type="dxa"/>
          </w:tcPr>
          <w:p w14:paraId="48D18C76">
            <w:pPr>
              <w:jc w:val="center"/>
              <w:rPr>
                <w:rFonts w:hint="default" w:eastAsiaTheme="minorEastAsia"/>
                <w:lang w:val="en-US" w:eastAsia="zh-CN"/>
              </w:rPr>
            </w:pPr>
            <w:r>
              <w:rPr>
                <w:rFonts w:hint="eastAsia"/>
                <w:lang w:val="en-US" w:eastAsia="zh-CN"/>
              </w:rPr>
              <w:t>2026-01-31</w:t>
            </w:r>
          </w:p>
        </w:tc>
      </w:tr>
    </w:tbl>
    <w:p w14:paraId="3F6FE4AE"/>
    <w:p w14:paraId="09065E2C">
      <w:pPr>
        <w:pStyle w:val="2"/>
        <w:numPr>
          <w:ilvl w:val="0"/>
          <w:numId w:val="1"/>
        </w:numPr>
        <w:rPr>
          <w:sz w:val="24"/>
        </w:rPr>
      </w:pPr>
      <w:r>
        <w:rPr>
          <w:rFonts w:hint="eastAsia"/>
          <w:sz w:val="24"/>
        </w:rPr>
        <w:t>换版方案</w:t>
      </w:r>
    </w:p>
    <w:tbl>
      <w:tblPr>
        <w:tblStyle w:val="5"/>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9"/>
        <w:gridCol w:w="4690"/>
        <w:gridCol w:w="1234"/>
        <w:gridCol w:w="1550"/>
      </w:tblGrid>
      <w:tr w14:paraId="14B8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10" w:type="pct"/>
            <w:vAlign w:val="center"/>
          </w:tcPr>
          <w:p w14:paraId="1FBB6138">
            <w:pPr>
              <w:adjustRightInd w:val="0"/>
              <w:snapToGrid w:val="0"/>
              <w:rPr>
                <w:rFonts w:ascii="宋体" w:hAnsi="宋体"/>
                <w:b/>
                <w:szCs w:val="21"/>
              </w:rPr>
            </w:pPr>
            <w:r>
              <w:rPr>
                <w:rFonts w:hint="eastAsia" w:ascii="宋体" w:hAnsi="宋体"/>
                <w:b/>
                <w:szCs w:val="21"/>
              </w:rPr>
              <w:t>序号</w:t>
            </w:r>
          </w:p>
        </w:tc>
        <w:tc>
          <w:tcPr>
            <w:tcW w:w="2817" w:type="pct"/>
            <w:vAlign w:val="center"/>
          </w:tcPr>
          <w:p w14:paraId="4836404A">
            <w:pPr>
              <w:adjustRightInd w:val="0"/>
              <w:snapToGrid w:val="0"/>
              <w:rPr>
                <w:rFonts w:ascii="宋体" w:hAnsi="宋体"/>
                <w:b/>
                <w:szCs w:val="21"/>
              </w:rPr>
            </w:pPr>
            <w:r>
              <w:rPr>
                <w:rFonts w:hint="eastAsia" w:ascii="宋体" w:hAnsi="宋体"/>
                <w:b/>
                <w:szCs w:val="21"/>
              </w:rPr>
              <w:t>试验项目</w:t>
            </w:r>
          </w:p>
        </w:tc>
        <w:tc>
          <w:tcPr>
            <w:tcW w:w="741" w:type="pct"/>
            <w:vAlign w:val="center"/>
          </w:tcPr>
          <w:p w14:paraId="411E800F">
            <w:pPr>
              <w:adjustRightInd w:val="0"/>
              <w:snapToGrid w:val="0"/>
              <w:rPr>
                <w:rFonts w:ascii="宋体" w:hAnsi="宋体"/>
                <w:b/>
                <w:szCs w:val="21"/>
              </w:rPr>
            </w:pPr>
            <w:r>
              <w:rPr>
                <w:rFonts w:hint="eastAsia" w:ascii="宋体" w:hAnsi="宋体"/>
                <w:b/>
                <w:szCs w:val="21"/>
              </w:rPr>
              <w:t>试验类型</w:t>
            </w:r>
          </w:p>
        </w:tc>
        <w:tc>
          <w:tcPr>
            <w:tcW w:w="931" w:type="pct"/>
            <w:vAlign w:val="center"/>
          </w:tcPr>
          <w:p w14:paraId="40920D58">
            <w:pPr>
              <w:adjustRightInd w:val="0"/>
              <w:snapToGrid w:val="0"/>
              <w:rPr>
                <w:rFonts w:ascii="宋体" w:hAnsi="宋体"/>
                <w:b/>
                <w:szCs w:val="21"/>
              </w:rPr>
            </w:pPr>
            <w:r>
              <w:rPr>
                <w:rFonts w:hint="eastAsia" w:ascii="宋体" w:hAnsi="宋体"/>
                <w:b/>
                <w:szCs w:val="21"/>
              </w:rPr>
              <w:t>说明</w:t>
            </w:r>
          </w:p>
        </w:tc>
      </w:tr>
      <w:tr w14:paraId="4B07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10" w:type="pct"/>
            <w:vAlign w:val="center"/>
          </w:tcPr>
          <w:p w14:paraId="0A19724C">
            <w:pPr>
              <w:autoSpaceDE w:val="0"/>
              <w:autoSpaceDN w:val="0"/>
              <w:adjustRightInd w:val="0"/>
              <w:spacing w:before="1"/>
              <w:ind w:left="149" w:right="-20"/>
              <w:rPr>
                <w:rFonts w:ascii="宋体" w:hAnsi="宋体" w:cs="宋体"/>
              </w:rPr>
            </w:pPr>
            <w:r>
              <w:rPr>
                <w:rFonts w:hint="eastAsia" w:ascii="宋体" w:hAnsi="宋体" w:cs="宋体"/>
              </w:rPr>
              <w:t>1</w:t>
            </w:r>
          </w:p>
        </w:tc>
        <w:tc>
          <w:tcPr>
            <w:tcW w:w="2817" w:type="pct"/>
            <w:vAlign w:val="center"/>
          </w:tcPr>
          <w:p w14:paraId="007D4438">
            <w:pPr>
              <w:pStyle w:val="4"/>
              <w:jc w:val="left"/>
              <w:rPr>
                <w:rFonts w:ascii="宋体" w:hAnsi="宋体" w:cs="宋体"/>
              </w:rPr>
            </w:pPr>
            <w:r>
              <w:rPr>
                <w:rFonts w:hint="eastAsia" w:ascii="宋体" w:hAnsi="宋体"/>
              </w:rPr>
              <w:t>空载损耗测量</w:t>
            </w:r>
          </w:p>
        </w:tc>
        <w:tc>
          <w:tcPr>
            <w:tcW w:w="741" w:type="pct"/>
            <w:vAlign w:val="center"/>
          </w:tcPr>
          <w:p w14:paraId="1880634C">
            <w:pPr>
              <w:tabs>
                <w:tab w:val="left" w:pos="2100"/>
              </w:tabs>
            </w:pPr>
            <w:r>
              <w:rPr>
                <w:rFonts w:hint="eastAsia" w:ascii="宋体" w:hAnsi="宋体" w:cs="宋体"/>
              </w:rPr>
              <w:t>例行</w:t>
            </w:r>
          </w:p>
        </w:tc>
        <w:tc>
          <w:tcPr>
            <w:tcW w:w="931" w:type="pct"/>
            <w:vMerge w:val="restart"/>
            <w:vAlign w:val="center"/>
          </w:tcPr>
          <w:p w14:paraId="17DAA6C9">
            <w:pPr>
              <w:tabs>
                <w:tab w:val="left" w:pos="1880"/>
              </w:tabs>
              <w:rPr>
                <w:rFonts w:hint="default" w:eastAsiaTheme="minorEastAsia"/>
                <w:lang w:val="en-US" w:eastAsia="zh-CN"/>
              </w:rPr>
            </w:pPr>
            <w:r>
              <w:rPr>
                <w:rFonts w:hint="eastAsia"/>
                <w:lang w:val="en-US" w:eastAsia="zh-CN"/>
              </w:rPr>
              <w:t>能效指标未发生变化，</w:t>
            </w:r>
            <w:r>
              <w:rPr>
                <w:rFonts w:hint="eastAsia"/>
              </w:rPr>
              <w:t>不必进行试验</w:t>
            </w:r>
            <w:r>
              <w:rPr>
                <w:rFonts w:hint="eastAsia"/>
                <w:lang w:eastAsia="zh-CN"/>
              </w:rPr>
              <w:t>，</w:t>
            </w:r>
            <w:r>
              <w:rPr>
                <w:rFonts w:hint="eastAsia"/>
                <w:lang w:val="en-US" w:eastAsia="zh-CN"/>
              </w:rPr>
              <w:t>企业申请换版经评定合格后换发新版证书。</w:t>
            </w:r>
            <w:bookmarkStart w:id="0" w:name="_GoBack"/>
            <w:bookmarkEnd w:id="0"/>
          </w:p>
        </w:tc>
      </w:tr>
      <w:tr w14:paraId="7A58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10" w:type="pct"/>
            <w:vAlign w:val="center"/>
          </w:tcPr>
          <w:p w14:paraId="7C735C69">
            <w:pPr>
              <w:tabs>
                <w:tab w:val="left" w:pos="1000"/>
              </w:tabs>
              <w:autoSpaceDE w:val="0"/>
              <w:autoSpaceDN w:val="0"/>
              <w:adjustRightInd w:val="0"/>
              <w:spacing w:before="1"/>
              <w:ind w:left="149" w:right="-280"/>
              <w:rPr>
                <w:rFonts w:ascii="宋体" w:hAnsi="宋体" w:cs="宋体"/>
              </w:rPr>
            </w:pPr>
            <w:r>
              <w:rPr>
                <w:rFonts w:hint="eastAsia" w:ascii="宋体" w:hAnsi="宋体" w:cs="宋体"/>
              </w:rPr>
              <w:t>2</w:t>
            </w:r>
          </w:p>
        </w:tc>
        <w:tc>
          <w:tcPr>
            <w:tcW w:w="2817" w:type="pct"/>
            <w:vAlign w:val="center"/>
          </w:tcPr>
          <w:p w14:paraId="31BFF70A">
            <w:pPr>
              <w:pStyle w:val="4"/>
              <w:jc w:val="left"/>
              <w:rPr>
                <w:rFonts w:ascii="宋体" w:hAnsi="宋体" w:cs="宋体"/>
              </w:rPr>
            </w:pPr>
            <w:r>
              <w:rPr>
                <w:rFonts w:hint="eastAsia" w:ascii="宋体" w:hAnsi="宋体"/>
              </w:rPr>
              <w:t>负载损耗测量</w:t>
            </w:r>
          </w:p>
        </w:tc>
        <w:tc>
          <w:tcPr>
            <w:tcW w:w="741" w:type="pct"/>
            <w:vAlign w:val="center"/>
          </w:tcPr>
          <w:p w14:paraId="6505A0B1">
            <w:pPr>
              <w:tabs>
                <w:tab w:val="left" w:pos="2100"/>
              </w:tabs>
            </w:pPr>
            <w:r>
              <w:rPr>
                <w:rFonts w:hint="eastAsia" w:ascii="宋体" w:hAnsi="宋体" w:cs="宋体"/>
              </w:rPr>
              <w:t>例行</w:t>
            </w:r>
          </w:p>
        </w:tc>
        <w:tc>
          <w:tcPr>
            <w:tcW w:w="931" w:type="pct"/>
            <w:vMerge w:val="continue"/>
            <w:vAlign w:val="center"/>
          </w:tcPr>
          <w:p w14:paraId="4CF7FA6C">
            <w:pPr>
              <w:tabs>
                <w:tab w:val="left" w:pos="2100"/>
              </w:tabs>
            </w:pPr>
          </w:p>
        </w:tc>
      </w:tr>
      <w:tr w14:paraId="10AE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10" w:type="pct"/>
            <w:vAlign w:val="center"/>
          </w:tcPr>
          <w:p w14:paraId="79260CD8">
            <w:pPr>
              <w:tabs>
                <w:tab w:val="left" w:pos="1000"/>
              </w:tabs>
              <w:autoSpaceDE w:val="0"/>
              <w:autoSpaceDN w:val="0"/>
              <w:adjustRightInd w:val="0"/>
              <w:spacing w:before="1"/>
              <w:ind w:left="149" w:right="-280"/>
              <w:rPr>
                <w:rFonts w:ascii="宋体" w:hAnsi="宋体" w:cs="宋体"/>
              </w:rPr>
            </w:pPr>
            <w:r>
              <w:rPr>
                <w:rFonts w:hint="eastAsia" w:ascii="宋体" w:hAnsi="宋体" w:cs="宋体"/>
              </w:rPr>
              <w:t>3</w:t>
            </w:r>
          </w:p>
        </w:tc>
        <w:tc>
          <w:tcPr>
            <w:tcW w:w="2817" w:type="pct"/>
            <w:vAlign w:val="center"/>
          </w:tcPr>
          <w:p w14:paraId="6B52654B">
            <w:pPr>
              <w:pStyle w:val="4"/>
              <w:jc w:val="left"/>
              <w:rPr>
                <w:rFonts w:ascii="宋体" w:hAnsi="宋体" w:cs="宋体"/>
              </w:rPr>
            </w:pPr>
            <w:r>
              <w:rPr>
                <w:rFonts w:hint="eastAsia" w:ascii="宋体" w:hAnsi="宋体"/>
              </w:rPr>
              <w:t>空载电流测量</w:t>
            </w:r>
          </w:p>
        </w:tc>
        <w:tc>
          <w:tcPr>
            <w:tcW w:w="741" w:type="pct"/>
            <w:vAlign w:val="center"/>
          </w:tcPr>
          <w:p w14:paraId="32A62051">
            <w:pPr>
              <w:tabs>
                <w:tab w:val="left" w:pos="2100"/>
              </w:tabs>
            </w:pPr>
            <w:r>
              <w:rPr>
                <w:rFonts w:hint="eastAsia" w:ascii="宋体" w:hAnsi="宋体" w:cs="宋体"/>
              </w:rPr>
              <w:t>例行</w:t>
            </w:r>
          </w:p>
        </w:tc>
        <w:tc>
          <w:tcPr>
            <w:tcW w:w="931" w:type="pct"/>
            <w:vMerge w:val="continue"/>
            <w:vAlign w:val="center"/>
          </w:tcPr>
          <w:p w14:paraId="6C76CCAC">
            <w:pPr>
              <w:tabs>
                <w:tab w:val="left" w:pos="2100"/>
              </w:tabs>
            </w:pPr>
          </w:p>
        </w:tc>
      </w:tr>
      <w:tr w14:paraId="7EE1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10" w:type="pct"/>
            <w:vAlign w:val="center"/>
          </w:tcPr>
          <w:p w14:paraId="0F11056C">
            <w:pPr>
              <w:tabs>
                <w:tab w:val="left" w:pos="1000"/>
              </w:tabs>
              <w:autoSpaceDE w:val="0"/>
              <w:autoSpaceDN w:val="0"/>
              <w:adjustRightInd w:val="0"/>
              <w:spacing w:before="1"/>
              <w:ind w:left="149" w:right="-280"/>
              <w:rPr>
                <w:rFonts w:ascii="宋体" w:hAnsi="宋体" w:cs="宋体"/>
              </w:rPr>
            </w:pPr>
            <w:r>
              <w:rPr>
                <w:rFonts w:hint="eastAsia" w:ascii="宋体" w:hAnsi="宋体" w:cs="宋体"/>
              </w:rPr>
              <w:t>4</w:t>
            </w:r>
          </w:p>
        </w:tc>
        <w:tc>
          <w:tcPr>
            <w:tcW w:w="2817" w:type="pct"/>
            <w:vAlign w:val="center"/>
          </w:tcPr>
          <w:p w14:paraId="39382160">
            <w:pPr>
              <w:pStyle w:val="4"/>
              <w:jc w:val="left"/>
              <w:rPr>
                <w:rFonts w:ascii="宋体" w:hAnsi="宋体" w:cs="宋体"/>
              </w:rPr>
            </w:pPr>
            <w:r>
              <w:rPr>
                <w:rFonts w:hint="eastAsia" w:ascii="宋体" w:hAnsi="宋体"/>
              </w:rPr>
              <w:t>短路阻抗测量</w:t>
            </w:r>
          </w:p>
        </w:tc>
        <w:tc>
          <w:tcPr>
            <w:tcW w:w="741" w:type="pct"/>
            <w:vAlign w:val="center"/>
          </w:tcPr>
          <w:p w14:paraId="5301BE31">
            <w:pPr>
              <w:tabs>
                <w:tab w:val="left" w:pos="2100"/>
              </w:tabs>
            </w:pPr>
            <w:r>
              <w:rPr>
                <w:rFonts w:hint="eastAsia" w:ascii="宋体" w:hAnsi="宋体" w:cs="宋体"/>
              </w:rPr>
              <w:t>例行</w:t>
            </w:r>
          </w:p>
        </w:tc>
        <w:tc>
          <w:tcPr>
            <w:tcW w:w="931" w:type="pct"/>
            <w:vMerge w:val="continue"/>
            <w:vAlign w:val="center"/>
          </w:tcPr>
          <w:p w14:paraId="6C8A2BDF">
            <w:pPr>
              <w:tabs>
                <w:tab w:val="left" w:pos="2100"/>
              </w:tabs>
            </w:pPr>
          </w:p>
        </w:tc>
      </w:tr>
      <w:tr w14:paraId="7FA2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510" w:type="pct"/>
            <w:vAlign w:val="center"/>
          </w:tcPr>
          <w:p w14:paraId="4B0E211B">
            <w:pPr>
              <w:autoSpaceDE w:val="0"/>
              <w:autoSpaceDN w:val="0"/>
              <w:adjustRightInd w:val="0"/>
              <w:spacing w:before="16" w:line="120" w:lineRule="exact"/>
              <w:rPr>
                <w:rFonts w:ascii="宋体" w:hAnsi="宋体" w:cs="宋体"/>
              </w:rPr>
            </w:pPr>
          </w:p>
          <w:p w14:paraId="4BC43CAE">
            <w:pPr>
              <w:tabs>
                <w:tab w:val="left" w:pos="1000"/>
              </w:tabs>
              <w:autoSpaceDE w:val="0"/>
              <w:autoSpaceDN w:val="0"/>
              <w:adjustRightInd w:val="0"/>
              <w:ind w:left="149" w:right="-280"/>
              <w:rPr>
                <w:rFonts w:ascii="宋体" w:hAnsi="宋体" w:cs="宋体"/>
              </w:rPr>
            </w:pPr>
            <w:r>
              <w:rPr>
                <w:rFonts w:hint="eastAsia" w:ascii="宋体" w:hAnsi="宋体" w:cs="宋体"/>
              </w:rPr>
              <w:t>5</w:t>
            </w:r>
          </w:p>
        </w:tc>
        <w:tc>
          <w:tcPr>
            <w:tcW w:w="2817" w:type="pct"/>
            <w:vAlign w:val="center"/>
          </w:tcPr>
          <w:p w14:paraId="7410DDC6">
            <w:pPr>
              <w:pStyle w:val="4"/>
              <w:jc w:val="left"/>
              <w:rPr>
                <w:rFonts w:ascii="宋体" w:hAnsi="宋体" w:cs="宋体"/>
              </w:rPr>
            </w:pPr>
            <w:r>
              <w:rPr>
                <w:rFonts w:hint="eastAsia" w:ascii="宋体" w:hAnsi="宋体"/>
              </w:rPr>
              <w:t>外施耐压试验</w:t>
            </w:r>
          </w:p>
        </w:tc>
        <w:tc>
          <w:tcPr>
            <w:tcW w:w="741" w:type="pct"/>
            <w:vAlign w:val="center"/>
          </w:tcPr>
          <w:p w14:paraId="50595893">
            <w:pPr>
              <w:tabs>
                <w:tab w:val="left" w:pos="1940"/>
              </w:tabs>
            </w:pPr>
            <w:r>
              <w:rPr>
                <w:rFonts w:hint="eastAsia" w:ascii="宋体" w:hAnsi="宋体" w:cs="宋体"/>
              </w:rPr>
              <w:t>例行</w:t>
            </w:r>
          </w:p>
        </w:tc>
        <w:tc>
          <w:tcPr>
            <w:tcW w:w="931" w:type="pct"/>
            <w:vMerge w:val="continue"/>
            <w:vAlign w:val="center"/>
          </w:tcPr>
          <w:p w14:paraId="714B21A5">
            <w:pPr>
              <w:tabs>
                <w:tab w:val="left" w:pos="1940"/>
              </w:tabs>
              <w:rPr>
                <w:rFonts w:ascii="宋体" w:hAnsi="宋体" w:cs="宋体"/>
              </w:rPr>
            </w:pPr>
          </w:p>
        </w:tc>
      </w:tr>
      <w:tr w14:paraId="7F94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10" w:type="pct"/>
            <w:vAlign w:val="center"/>
          </w:tcPr>
          <w:p w14:paraId="6AD76C2C">
            <w:pPr>
              <w:tabs>
                <w:tab w:val="left" w:pos="1000"/>
              </w:tabs>
              <w:autoSpaceDE w:val="0"/>
              <w:autoSpaceDN w:val="0"/>
              <w:adjustRightInd w:val="0"/>
              <w:spacing w:before="1"/>
              <w:ind w:left="149" w:right="-280"/>
              <w:rPr>
                <w:rFonts w:ascii="宋体" w:hAnsi="宋体" w:cs="宋体"/>
              </w:rPr>
            </w:pPr>
            <w:r>
              <w:rPr>
                <w:rFonts w:hint="eastAsia" w:ascii="宋体" w:hAnsi="宋体" w:cs="宋体"/>
              </w:rPr>
              <w:t>6</w:t>
            </w:r>
          </w:p>
        </w:tc>
        <w:tc>
          <w:tcPr>
            <w:tcW w:w="2817" w:type="pct"/>
            <w:vAlign w:val="center"/>
          </w:tcPr>
          <w:p w14:paraId="00F9D9DC">
            <w:pPr>
              <w:pStyle w:val="4"/>
              <w:jc w:val="left"/>
              <w:rPr>
                <w:rFonts w:ascii="宋体" w:hAnsi="宋体"/>
              </w:rPr>
            </w:pPr>
            <w:r>
              <w:rPr>
                <w:rFonts w:hint="eastAsia" w:ascii="宋体" w:hAnsi="宋体"/>
              </w:rPr>
              <w:t>感应耐压试验</w:t>
            </w:r>
          </w:p>
          <w:p w14:paraId="38780988">
            <w:pPr>
              <w:spacing w:line="240" w:lineRule="auto"/>
              <w:jc w:val="left"/>
              <w:rPr>
                <w:rFonts w:ascii="宋体" w:hAnsi="宋体" w:cs="宋体"/>
              </w:rPr>
            </w:pPr>
            <w:r>
              <w:rPr>
                <w:rFonts w:hint="eastAsia"/>
              </w:rPr>
              <w:t>（带有局部放电测量的感应电压试验）</w:t>
            </w:r>
          </w:p>
        </w:tc>
        <w:tc>
          <w:tcPr>
            <w:tcW w:w="741" w:type="pct"/>
            <w:vAlign w:val="center"/>
          </w:tcPr>
          <w:p w14:paraId="27EFC2C8">
            <w:pPr>
              <w:tabs>
                <w:tab w:val="left" w:pos="2100"/>
              </w:tabs>
            </w:pPr>
            <w:r>
              <w:rPr>
                <w:rFonts w:hint="eastAsia" w:ascii="宋体" w:hAnsi="宋体" w:cs="宋体"/>
              </w:rPr>
              <w:t>例行</w:t>
            </w:r>
          </w:p>
        </w:tc>
        <w:tc>
          <w:tcPr>
            <w:tcW w:w="931" w:type="pct"/>
            <w:vMerge w:val="continue"/>
            <w:vAlign w:val="center"/>
          </w:tcPr>
          <w:p w14:paraId="1FF52EAD">
            <w:pPr>
              <w:tabs>
                <w:tab w:val="left" w:pos="2100"/>
              </w:tabs>
            </w:pPr>
          </w:p>
        </w:tc>
      </w:tr>
      <w:tr w14:paraId="1B33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10" w:type="pct"/>
            <w:vAlign w:val="center"/>
          </w:tcPr>
          <w:p w14:paraId="10D7E2F9">
            <w:pPr>
              <w:tabs>
                <w:tab w:val="left" w:pos="1000"/>
              </w:tabs>
              <w:autoSpaceDE w:val="0"/>
              <w:autoSpaceDN w:val="0"/>
              <w:adjustRightInd w:val="0"/>
              <w:spacing w:before="1"/>
              <w:ind w:left="149" w:right="-280"/>
              <w:rPr>
                <w:rFonts w:ascii="宋体" w:hAnsi="宋体" w:cs="宋体"/>
              </w:rPr>
            </w:pPr>
            <w:r>
              <w:rPr>
                <w:rFonts w:hint="eastAsia" w:ascii="宋体" w:hAnsi="宋体" w:cs="宋体"/>
              </w:rPr>
              <w:t>7</w:t>
            </w:r>
          </w:p>
        </w:tc>
        <w:tc>
          <w:tcPr>
            <w:tcW w:w="2817" w:type="pct"/>
            <w:vAlign w:val="center"/>
          </w:tcPr>
          <w:p w14:paraId="1505B71A">
            <w:pPr>
              <w:pStyle w:val="4"/>
              <w:jc w:val="left"/>
              <w:rPr>
                <w:rFonts w:ascii="宋体" w:hAnsi="宋体"/>
              </w:rPr>
            </w:pPr>
            <w:r>
              <w:rPr>
                <w:rFonts w:hint="eastAsia" w:ascii="宋体" w:hAnsi="宋体"/>
              </w:rPr>
              <w:t>局部放电测量</w:t>
            </w:r>
          </w:p>
          <w:p w14:paraId="2706FF2B">
            <w:pPr>
              <w:pStyle w:val="4"/>
              <w:jc w:val="left"/>
              <w:rPr>
                <w:rFonts w:ascii="宋体" w:hAnsi="宋体" w:cs="宋体"/>
              </w:rPr>
            </w:pPr>
            <w:r>
              <w:rPr>
                <w:rFonts w:hint="eastAsia" w:ascii="宋体" w:hAnsi="宋体"/>
              </w:rPr>
              <w:t>（</w:t>
            </w:r>
            <w:r>
              <w:rPr>
                <w:rFonts w:ascii="宋体" w:hAnsi="宋体"/>
              </w:rPr>
              <w:t>适用于干式变压器</w:t>
            </w:r>
            <w:r>
              <w:rPr>
                <w:rFonts w:hint="eastAsia" w:ascii="宋体" w:hAnsi="宋体"/>
              </w:rPr>
              <w:t>）</w:t>
            </w:r>
          </w:p>
        </w:tc>
        <w:tc>
          <w:tcPr>
            <w:tcW w:w="741" w:type="pct"/>
            <w:vAlign w:val="center"/>
          </w:tcPr>
          <w:p w14:paraId="1D15FF0E">
            <w:pPr>
              <w:tabs>
                <w:tab w:val="left" w:pos="2100"/>
              </w:tabs>
            </w:pPr>
            <w:r>
              <w:rPr>
                <w:rFonts w:hint="eastAsia" w:ascii="宋体" w:hAnsi="宋体" w:cs="宋体"/>
              </w:rPr>
              <w:t>例行</w:t>
            </w:r>
          </w:p>
        </w:tc>
        <w:tc>
          <w:tcPr>
            <w:tcW w:w="931" w:type="pct"/>
            <w:vMerge w:val="continue"/>
            <w:vAlign w:val="center"/>
          </w:tcPr>
          <w:p w14:paraId="6D21A72F">
            <w:pPr>
              <w:tabs>
                <w:tab w:val="left" w:pos="2100"/>
              </w:tabs>
            </w:pPr>
          </w:p>
        </w:tc>
      </w:tr>
    </w:tbl>
    <w:p w14:paraId="6BD65C83"/>
    <w:p w14:paraId="0518FE1C">
      <w:pPr>
        <w:pStyle w:val="2"/>
        <w:numPr>
          <w:ilvl w:val="0"/>
          <w:numId w:val="1"/>
        </w:numPr>
        <w:rPr>
          <w:rFonts w:hint="eastAsia"/>
          <w:sz w:val="24"/>
        </w:rPr>
      </w:pPr>
      <w:r>
        <w:rPr>
          <w:rFonts w:hint="eastAsia"/>
          <w:sz w:val="24"/>
        </w:rPr>
        <w:t>标准差异</w:t>
      </w:r>
    </w:p>
    <w:tbl>
      <w:tblPr>
        <w:tblStyle w:val="5"/>
        <w:tblW w:w="10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00"/>
        <w:gridCol w:w="2960"/>
        <w:gridCol w:w="2970"/>
        <w:gridCol w:w="2880"/>
      </w:tblGrid>
      <w:tr w14:paraId="1C81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2" w:type="dxa"/>
            <w:noWrap w:val="0"/>
            <w:vAlign w:val="center"/>
          </w:tcPr>
          <w:p w14:paraId="331DA416">
            <w:pPr>
              <w:widowControl/>
              <w:spacing w:line="360" w:lineRule="exact"/>
              <w:jc w:val="center"/>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相关项目</w:t>
            </w:r>
          </w:p>
        </w:tc>
        <w:tc>
          <w:tcPr>
            <w:tcW w:w="700" w:type="dxa"/>
            <w:noWrap w:val="0"/>
            <w:vAlign w:val="center"/>
          </w:tcPr>
          <w:p w14:paraId="222D6EB0">
            <w:pPr>
              <w:widowControl/>
              <w:spacing w:line="360" w:lineRule="exact"/>
              <w:jc w:val="center"/>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是否有差异</w:t>
            </w:r>
          </w:p>
        </w:tc>
        <w:tc>
          <w:tcPr>
            <w:tcW w:w="2960" w:type="dxa"/>
            <w:noWrap w:val="0"/>
            <w:vAlign w:val="center"/>
          </w:tcPr>
          <w:p w14:paraId="12602EE9">
            <w:pPr>
              <w:widowControl/>
              <w:spacing w:line="360" w:lineRule="exact"/>
              <w:jc w:val="center"/>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差异内容</w:t>
            </w:r>
          </w:p>
        </w:tc>
        <w:tc>
          <w:tcPr>
            <w:tcW w:w="2970" w:type="dxa"/>
            <w:noWrap w:val="0"/>
            <w:vAlign w:val="center"/>
          </w:tcPr>
          <w:p w14:paraId="0F221C95">
            <w:pPr>
              <w:widowControl/>
              <w:spacing w:line="360" w:lineRule="exact"/>
              <w:jc w:val="center"/>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旧标准要求内容</w:t>
            </w:r>
          </w:p>
        </w:tc>
        <w:tc>
          <w:tcPr>
            <w:tcW w:w="2880" w:type="dxa"/>
            <w:noWrap w:val="0"/>
            <w:vAlign w:val="center"/>
          </w:tcPr>
          <w:p w14:paraId="05D63F40">
            <w:pPr>
              <w:widowControl/>
              <w:spacing w:line="360" w:lineRule="exact"/>
              <w:jc w:val="center"/>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新标准要求内容</w:t>
            </w:r>
          </w:p>
        </w:tc>
      </w:tr>
      <w:tr w14:paraId="3A0B6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53C12AE">
            <w:pPr>
              <w:widowControl/>
              <w:spacing w:line="360" w:lineRule="exact"/>
              <w:jc w:val="left"/>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适用范围</w:t>
            </w:r>
          </w:p>
        </w:tc>
        <w:tc>
          <w:tcPr>
            <w:tcW w:w="700" w:type="dxa"/>
            <w:noWrap w:val="0"/>
            <w:vAlign w:val="center"/>
          </w:tcPr>
          <w:p w14:paraId="5682D212">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是</w:t>
            </w:r>
          </w:p>
        </w:tc>
        <w:tc>
          <w:tcPr>
            <w:tcW w:w="2960" w:type="dxa"/>
            <w:noWrap w:val="0"/>
            <w:vAlign w:val="center"/>
          </w:tcPr>
          <w:p w14:paraId="4C2687FA">
            <w:pPr>
              <w:widowControl/>
              <w:spacing w:line="360" w:lineRule="exact"/>
              <w:jc w:val="both"/>
              <w:rPr>
                <w:rFonts w:hint="eastAsia" w:eastAsia="宋体"/>
                <w:lang w:val="en-US" w:eastAsia="zh-CN"/>
              </w:rPr>
            </w:pPr>
            <w:r>
              <w:rPr>
                <w:rFonts w:hint="eastAsia" w:eastAsia="宋体"/>
                <w:lang w:val="en-US" w:eastAsia="zh-CN"/>
              </w:rPr>
              <w:t>扩大适用范围：</w:t>
            </w:r>
          </w:p>
          <w:p w14:paraId="21C28347">
            <w:pPr>
              <w:widowControl/>
              <w:spacing w:line="360" w:lineRule="exact"/>
              <w:jc w:val="both"/>
              <w:rPr>
                <w:rFonts w:hint="eastAsia" w:eastAsia="宋体"/>
                <w:lang w:val="en-US" w:eastAsia="zh-CN"/>
              </w:rPr>
            </w:pPr>
            <w:r>
              <w:rPr>
                <w:rFonts w:hint="eastAsia" w:eastAsia="宋体"/>
                <w:lang w:val="en-US" w:eastAsia="zh-CN"/>
              </w:rPr>
              <w:t>增加了三相6kV~35kV 电压等级、无励磁调压、额定频率为50Hz、额定容量为500kVA及以上的新能源发电侧光伏用、风电用、储能用油浸式变压器和干式变压器;</w:t>
            </w:r>
          </w:p>
          <w:p w14:paraId="2C7D53B6">
            <w:pPr>
              <w:widowControl/>
              <w:spacing w:line="360" w:lineRule="exact"/>
              <w:jc w:val="both"/>
              <w:rPr>
                <w:rFonts w:hint="eastAsia" w:eastAsia="宋体"/>
                <w:lang w:val="en-US" w:eastAsia="zh-CN"/>
              </w:rPr>
            </w:pPr>
            <w:r>
              <w:rPr>
                <w:rFonts w:hint="eastAsia" w:eastAsia="宋体"/>
                <w:lang w:val="en-US" w:eastAsia="zh-CN"/>
              </w:rPr>
              <w:t>三相66kV电压等级、无励磁调压、额定频率为50Hz、额定容量为3150kVA~20000kVA的新能源发电侧光伏用、风电用、储能用油浸式变压器；</w:t>
            </w:r>
          </w:p>
          <w:p w14:paraId="6F25D621">
            <w:pPr>
              <w:widowControl/>
              <w:spacing w:line="360" w:lineRule="exact"/>
              <w:jc w:val="both"/>
              <w:rPr>
                <w:rFonts w:hint="default" w:ascii="宋体" w:hAnsi="宋体" w:eastAsia="宋体" w:cs="宋体"/>
                <w:b w:val="0"/>
                <w:bCs/>
                <w:kern w:val="0"/>
                <w:sz w:val="21"/>
                <w:szCs w:val="21"/>
                <w:lang w:val="en-US" w:eastAsia="zh-CN"/>
              </w:rPr>
            </w:pPr>
            <w:r>
              <w:rPr>
                <w:rFonts w:hint="eastAsia" w:eastAsia="宋体"/>
                <w:lang w:val="en-US" w:eastAsia="zh-CN"/>
              </w:rPr>
              <w:t>不适用中删除了“高阻抗变压器”。</w:t>
            </w:r>
          </w:p>
        </w:tc>
        <w:tc>
          <w:tcPr>
            <w:tcW w:w="2970" w:type="dxa"/>
            <w:noWrap w:val="0"/>
            <w:vAlign w:val="center"/>
          </w:tcPr>
          <w:p w14:paraId="5E369E39">
            <w:pPr>
              <w:widowControl/>
              <w:spacing w:line="360" w:lineRule="exact"/>
              <w:jc w:val="left"/>
              <w:rPr>
                <w:rFonts w:hint="default" w:ascii="宋体" w:hAnsi="宋体" w:eastAsia="宋体" w:cs="宋体"/>
                <w:b w:val="0"/>
                <w:bCs/>
                <w:kern w:val="0"/>
                <w:sz w:val="21"/>
                <w:szCs w:val="21"/>
                <w:lang w:val="en-US" w:eastAsia="zh-CN"/>
              </w:rPr>
            </w:pPr>
            <w:r>
              <w:rPr>
                <w:rFonts w:hint="default" w:ascii="宋体" w:hAnsi="宋体" w:eastAsia="宋体" w:cs="宋体"/>
                <w:b w:val="0"/>
                <w:bCs/>
                <w:kern w:val="0"/>
                <w:sz w:val="21"/>
                <w:szCs w:val="21"/>
                <w:lang w:val="en-US" w:eastAsia="zh-CN"/>
              </w:rPr>
              <w:t>本文件适用于三相10kV电压等级、无励磁调压、额定频率为50Hz、额定容量为30kVA~2500kVA的油浸式配电变压器和干式配电变</w:t>
            </w:r>
            <w:r>
              <w:rPr>
                <w:rFonts w:hint="eastAsia" w:ascii="宋体" w:hAnsi="宋体" w:eastAsia="宋体" w:cs="宋体"/>
                <w:b w:val="0"/>
                <w:bCs/>
                <w:kern w:val="0"/>
                <w:sz w:val="21"/>
                <w:szCs w:val="21"/>
                <w:lang w:val="en-US" w:eastAsia="zh-CN"/>
              </w:rPr>
              <w:t>压</w:t>
            </w:r>
            <w:r>
              <w:rPr>
                <w:rFonts w:hint="default" w:ascii="宋体" w:hAnsi="宋体" w:eastAsia="宋体" w:cs="宋体"/>
                <w:b w:val="0"/>
                <w:bCs/>
                <w:kern w:val="0"/>
                <w:sz w:val="21"/>
                <w:szCs w:val="21"/>
                <w:lang w:val="en-US" w:eastAsia="zh-CN"/>
              </w:rPr>
              <w:t>器;</w:t>
            </w:r>
            <w:r>
              <w:rPr>
                <w:rFonts w:hint="eastAsia" w:ascii="宋体" w:hAnsi="宋体" w:eastAsia="宋体" w:cs="宋体"/>
                <w:b w:val="0"/>
                <w:bCs/>
                <w:kern w:val="0"/>
                <w:sz w:val="21"/>
                <w:szCs w:val="21"/>
                <w:lang w:val="en-US" w:eastAsia="zh-CN"/>
              </w:rPr>
              <w:t xml:space="preserve"> </w:t>
            </w:r>
            <w:r>
              <w:rPr>
                <w:rFonts w:hint="default" w:ascii="宋体" w:hAnsi="宋体" w:eastAsia="宋体" w:cs="宋体"/>
                <w:b w:val="0"/>
                <w:bCs/>
                <w:kern w:val="0"/>
                <w:sz w:val="21"/>
                <w:szCs w:val="21"/>
                <w:lang w:val="en-US" w:eastAsia="zh-CN"/>
              </w:rPr>
              <w:t>35kV~500kV电压等级、额定频率为50Hz、额定容量为3150kVA及以上的油浸式电力变压器</w:t>
            </w:r>
          </w:p>
        </w:tc>
        <w:tc>
          <w:tcPr>
            <w:tcW w:w="2880" w:type="dxa"/>
            <w:noWrap w:val="0"/>
            <w:vAlign w:val="center"/>
          </w:tcPr>
          <w:p w14:paraId="0C7A76B3">
            <w:pPr>
              <w:widowControl/>
              <w:spacing w:line="360" w:lineRule="exact"/>
              <w:jc w:val="left"/>
              <w:rPr>
                <w:rFonts w:hint="default" w:ascii="宋体" w:hAnsi="宋体" w:eastAsia="宋体" w:cs="宋体"/>
                <w:b w:val="0"/>
                <w:bCs/>
                <w:kern w:val="0"/>
                <w:sz w:val="21"/>
                <w:szCs w:val="21"/>
                <w:lang w:val="en-US" w:eastAsia="zh-CN"/>
              </w:rPr>
            </w:pPr>
            <w:r>
              <w:rPr>
                <w:rFonts w:hint="default" w:ascii="宋体" w:hAnsi="宋体" w:eastAsia="宋体" w:cs="宋体"/>
                <w:b w:val="0"/>
                <w:bCs/>
                <w:kern w:val="0"/>
                <w:sz w:val="21"/>
                <w:szCs w:val="21"/>
                <w:lang w:val="en-US" w:eastAsia="zh-CN"/>
              </w:rPr>
              <w:t>本文件适用于三相10kV电压等级、无励磁调压、额定频率为50Hz、额定容量为30kVA~2500kVA的油浸式配电变压器和干式配电变</w:t>
            </w:r>
            <w:r>
              <w:rPr>
                <w:rFonts w:hint="eastAsia" w:ascii="宋体" w:hAnsi="宋体" w:eastAsia="宋体" w:cs="宋体"/>
                <w:b w:val="0"/>
                <w:bCs/>
                <w:kern w:val="0"/>
                <w:sz w:val="21"/>
                <w:szCs w:val="21"/>
                <w:lang w:val="en-US" w:eastAsia="zh-CN"/>
              </w:rPr>
              <w:t>压</w:t>
            </w:r>
            <w:r>
              <w:rPr>
                <w:rFonts w:hint="default" w:ascii="宋体" w:hAnsi="宋体" w:eastAsia="宋体" w:cs="宋体"/>
                <w:b w:val="0"/>
                <w:bCs/>
                <w:kern w:val="0"/>
                <w:sz w:val="21"/>
                <w:szCs w:val="21"/>
                <w:lang w:val="en-US" w:eastAsia="zh-CN"/>
              </w:rPr>
              <w:t>器;</w:t>
            </w:r>
            <w:r>
              <w:rPr>
                <w:rFonts w:hint="eastAsia" w:ascii="宋体" w:hAnsi="宋体" w:eastAsia="宋体" w:cs="宋体"/>
                <w:b w:val="0"/>
                <w:bCs/>
                <w:kern w:val="0"/>
                <w:sz w:val="21"/>
                <w:szCs w:val="21"/>
                <w:lang w:val="en-US" w:eastAsia="zh-CN"/>
              </w:rPr>
              <w:t xml:space="preserve"> </w:t>
            </w:r>
            <w:r>
              <w:rPr>
                <w:rFonts w:hint="default" w:ascii="宋体" w:hAnsi="宋体" w:eastAsia="宋体" w:cs="宋体"/>
                <w:b w:val="0"/>
                <w:bCs/>
                <w:kern w:val="0"/>
                <w:sz w:val="21"/>
                <w:szCs w:val="21"/>
                <w:lang w:val="en-US" w:eastAsia="zh-CN"/>
              </w:rPr>
              <w:t>35kV~500kV电压等级、额定频率为50Hz、额定容量为3150kVA及以上的油浸式电力变压器;三相6kV~35kV电压等级、无励磁调压、额定频率为50Hz、额定容量500kVA 及以上的新能源发电侧光伏用、风电用、储能用油浸式和干式变压器;三相66kV电压等级、无励磁调压、额定频率为50Hz、额定容量</w:t>
            </w:r>
            <w:r>
              <w:rPr>
                <w:rFonts w:hint="eastAsia" w:ascii="宋体" w:hAnsi="宋体" w:eastAsia="宋体" w:cs="宋体"/>
                <w:b w:val="0"/>
                <w:bCs/>
                <w:kern w:val="0"/>
                <w:sz w:val="21"/>
                <w:szCs w:val="21"/>
                <w:lang w:val="en-US" w:eastAsia="zh-CN"/>
              </w:rPr>
              <w:t>为</w:t>
            </w:r>
            <w:r>
              <w:rPr>
                <w:rFonts w:hint="default" w:ascii="宋体" w:hAnsi="宋体" w:eastAsia="宋体" w:cs="宋体"/>
                <w:b w:val="0"/>
                <w:bCs/>
                <w:kern w:val="0"/>
                <w:sz w:val="21"/>
                <w:szCs w:val="21"/>
                <w:lang w:val="en-US" w:eastAsia="zh-CN"/>
              </w:rPr>
              <w:t>3150kVA~20000kVA的新能源发电侧光伏用、风电用、储能用油浸式变压器。</w:t>
            </w:r>
          </w:p>
        </w:tc>
      </w:tr>
      <w:tr w14:paraId="33C5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C13D3C5">
            <w:pPr>
              <w:widowControl/>
              <w:spacing w:line="360" w:lineRule="exact"/>
              <w:jc w:val="left"/>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能效指标要求</w:t>
            </w:r>
          </w:p>
        </w:tc>
        <w:tc>
          <w:tcPr>
            <w:tcW w:w="700" w:type="dxa"/>
            <w:noWrap w:val="0"/>
            <w:vAlign w:val="center"/>
          </w:tcPr>
          <w:p w14:paraId="20256091">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是</w:t>
            </w:r>
          </w:p>
        </w:tc>
        <w:tc>
          <w:tcPr>
            <w:tcW w:w="2960" w:type="dxa"/>
            <w:noWrap w:val="0"/>
            <w:vAlign w:val="center"/>
          </w:tcPr>
          <w:p w14:paraId="4BC896E8">
            <w:pPr>
              <w:widowControl/>
              <w:spacing w:line="360" w:lineRule="exact"/>
              <w:jc w:val="both"/>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增加了6kV、10kV、35kV 和66kV 新能源发电侧光伏用、风电用、储能用变压器的能效限定值要求</w:t>
            </w:r>
          </w:p>
        </w:tc>
        <w:tc>
          <w:tcPr>
            <w:tcW w:w="2970" w:type="dxa"/>
            <w:noWrap w:val="0"/>
            <w:vAlign w:val="center"/>
          </w:tcPr>
          <w:p w14:paraId="383C5DFB">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w:t>
            </w:r>
          </w:p>
        </w:tc>
        <w:tc>
          <w:tcPr>
            <w:tcW w:w="2880" w:type="dxa"/>
            <w:noWrap w:val="0"/>
            <w:vAlign w:val="center"/>
          </w:tcPr>
          <w:p w14:paraId="4B740D17">
            <w:pPr>
              <w:widowControl/>
              <w:spacing w:line="360" w:lineRule="exact"/>
              <w:jc w:val="left"/>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见GB/T 20052-2024 表29~35</w:t>
            </w:r>
          </w:p>
        </w:tc>
      </w:tr>
      <w:tr w14:paraId="2D7E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8F64CA3">
            <w:pPr>
              <w:widowControl/>
              <w:spacing w:line="360" w:lineRule="exact"/>
              <w:jc w:val="left"/>
              <w:rPr>
                <w:rFonts w:hint="default" w:ascii="宋体" w:hAnsi="宋体" w:eastAsia="宋体" w:cs="宋体"/>
                <w:b w:val="0"/>
                <w:bCs/>
                <w:kern w:val="0"/>
                <w:sz w:val="21"/>
                <w:szCs w:val="21"/>
                <w:lang w:val="en-US" w:eastAsia="zh-CN"/>
              </w:rPr>
            </w:pPr>
            <w:r>
              <w:rPr>
                <w:rFonts w:hint="eastAsia" w:eastAsia="宋体"/>
                <w:lang w:val="en-US" w:eastAsia="zh-CN"/>
              </w:rPr>
              <w:t>能效指标要求</w:t>
            </w:r>
          </w:p>
        </w:tc>
        <w:tc>
          <w:tcPr>
            <w:tcW w:w="700" w:type="dxa"/>
            <w:noWrap w:val="0"/>
            <w:vAlign w:val="center"/>
          </w:tcPr>
          <w:p w14:paraId="14A664F3">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是</w:t>
            </w:r>
          </w:p>
        </w:tc>
        <w:tc>
          <w:tcPr>
            <w:tcW w:w="2960" w:type="dxa"/>
            <w:noWrap w:val="0"/>
            <w:vAlign w:val="center"/>
          </w:tcPr>
          <w:p w14:paraId="502AC69B">
            <w:pPr>
              <w:widowControl/>
              <w:spacing w:line="360" w:lineRule="exact"/>
              <w:jc w:val="both"/>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更改了10kV/2500kVA 油浸式三相双绕组无励磁调压配电变压器1级、2级能效等级的负载损耗限定值，放松了要求。</w:t>
            </w:r>
          </w:p>
        </w:tc>
        <w:tc>
          <w:tcPr>
            <w:tcW w:w="2970" w:type="dxa"/>
            <w:noWrap w:val="0"/>
            <w:vAlign w:val="center"/>
          </w:tcPr>
          <w:p w14:paraId="2882F01E">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2500kVA 1级负载损耗：</w:t>
            </w:r>
          </w:p>
          <w:p w14:paraId="6172AC3D">
            <w:pPr>
              <w:widowControl/>
              <w:spacing w:line="360" w:lineRule="exact"/>
              <w:jc w:val="left"/>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13360W(硅钢)/15450W(非晶)</w:t>
            </w:r>
          </w:p>
          <w:p w14:paraId="4B225CE0">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2500kVA 2级负载损耗：</w:t>
            </w:r>
          </w:p>
          <w:p w14:paraId="31F441E6">
            <w:pPr>
              <w:widowControl/>
              <w:spacing w:line="360" w:lineRule="exact"/>
              <w:jc w:val="left"/>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14840W(硅钢)/16300W(非晶)</w:t>
            </w:r>
          </w:p>
        </w:tc>
        <w:tc>
          <w:tcPr>
            <w:tcW w:w="2880" w:type="dxa"/>
            <w:noWrap w:val="0"/>
            <w:vAlign w:val="center"/>
          </w:tcPr>
          <w:p w14:paraId="52B45964">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2500kVA 1级负载损耗：</w:t>
            </w:r>
          </w:p>
          <w:p w14:paraId="5824B105">
            <w:pPr>
              <w:widowControl/>
              <w:spacing w:line="360" w:lineRule="exact"/>
              <w:jc w:val="left"/>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15270W(硅钢)/16230W(非晶)</w:t>
            </w:r>
          </w:p>
          <w:p w14:paraId="27BA2C46">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2500kVA 2级负载损耗：</w:t>
            </w:r>
          </w:p>
          <w:p w14:paraId="6853CBD7">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16960W(硅钢)/17150W(非晶)</w:t>
            </w:r>
          </w:p>
        </w:tc>
      </w:tr>
      <w:tr w14:paraId="1DCE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55BAB476">
            <w:pPr>
              <w:widowControl/>
              <w:spacing w:line="360" w:lineRule="exact"/>
              <w:jc w:val="left"/>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短路阻抗要求</w:t>
            </w:r>
          </w:p>
        </w:tc>
        <w:tc>
          <w:tcPr>
            <w:tcW w:w="700" w:type="dxa"/>
            <w:noWrap w:val="0"/>
            <w:vAlign w:val="center"/>
          </w:tcPr>
          <w:p w14:paraId="482CA6CA">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是</w:t>
            </w:r>
          </w:p>
        </w:tc>
        <w:tc>
          <w:tcPr>
            <w:tcW w:w="2960" w:type="dxa"/>
            <w:noWrap w:val="0"/>
            <w:vAlign w:val="center"/>
          </w:tcPr>
          <w:p w14:paraId="6C0CE14D">
            <w:pPr>
              <w:widowControl/>
              <w:spacing w:line="360" w:lineRule="exact"/>
              <w:jc w:val="left"/>
              <w:rPr>
                <w:rFonts w:hint="default" w:ascii="宋体" w:hAnsi="宋体" w:eastAsia="宋体" w:cs="宋体"/>
                <w:b w:val="0"/>
                <w:bCs/>
                <w:kern w:val="0"/>
                <w:sz w:val="21"/>
                <w:szCs w:val="21"/>
                <w:lang w:val="en-US" w:eastAsia="zh-CN"/>
              </w:rPr>
            </w:pPr>
            <w:r>
              <w:rPr>
                <w:rFonts w:hint="default" w:ascii="宋体" w:hAnsi="宋体" w:eastAsia="宋体" w:cs="宋体"/>
                <w:b w:val="0"/>
                <w:bCs/>
                <w:kern w:val="0"/>
                <w:sz w:val="21"/>
                <w:szCs w:val="21"/>
                <w:lang w:val="en-US" w:eastAsia="zh-CN"/>
              </w:rPr>
              <w:t>更改了10kV 干式三相双绕组无励磁调压配电变压器的短路阻抗</w:t>
            </w:r>
            <w:r>
              <w:rPr>
                <w:rFonts w:hint="eastAsia" w:ascii="宋体" w:hAnsi="宋体" w:eastAsia="宋体" w:cs="宋体"/>
                <w:b w:val="0"/>
                <w:bCs/>
                <w:kern w:val="0"/>
                <w:sz w:val="21"/>
                <w:szCs w:val="21"/>
                <w:lang w:val="en-US" w:eastAsia="zh-CN"/>
              </w:rPr>
              <w:t>要求</w:t>
            </w:r>
          </w:p>
        </w:tc>
        <w:tc>
          <w:tcPr>
            <w:tcW w:w="2970" w:type="dxa"/>
            <w:noWrap w:val="0"/>
            <w:vAlign w:val="center"/>
          </w:tcPr>
          <w:p w14:paraId="3079F785">
            <w:pPr>
              <w:widowControl/>
              <w:spacing w:line="360" w:lineRule="exact"/>
              <w:jc w:val="left"/>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6%（GB 20052-2020表2）</w:t>
            </w:r>
          </w:p>
        </w:tc>
        <w:tc>
          <w:tcPr>
            <w:tcW w:w="2880" w:type="dxa"/>
            <w:noWrap w:val="0"/>
            <w:vAlign w:val="center"/>
          </w:tcPr>
          <w:p w14:paraId="51F6C850">
            <w:pPr>
              <w:widowControl/>
              <w:spacing w:line="360" w:lineRule="exact"/>
              <w:jc w:val="left"/>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6~8%（GB 20052-2024表2）</w:t>
            </w:r>
          </w:p>
        </w:tc>
      </w:tr>
      <w:tr w14:paraId="0F8F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ECAF197">
            <w:pPr>
              <w:widowControl/>
              <w:spacing w:line="360" w:lineRule="exact"/>
              <w:jc w:val="left"/>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短路阻抗要求</w:t>
            </w:r>
          </w:p>
        </w:tc>
        <w:tc>
          <w:tcPr>
            <w:tcW w:w="700" w:type="dxa"/>
            <w:noWrap w:val="0"/>
            <w:vAlign w:val="center"/>
          </w:tcPr>
          <w:p w14:paraId="0865579C">
            <w:pPr>
              <w:widowControl/>
              <w:spacing w:line="360" w:lineRule="exact"/>
              <w:jc w:val="left"/>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是</w:t>
            </w:r>
          </w:p>
        </w:tc>
        <w:tc>
          <w:tcPr>
            <w:tcW w:w="2960" w:type="dxa"/>
            <w:noWrap w:val="0"/>
            <w:vAlign w:val="center"/>
          </w:tcPr>
          <w:p w14:paraId="29F42F1C">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更改了66kV 油浸式三相双绕组有载调压电力变压器的短路阻抗要求</w:t>
            </w:r>
          </w:p>
        </w:tc>
        <w:tc>
          <w:tcPr>
            <w:tcW w:w="2970" w:type="dxa"/>
            <w:noWrap w:val="0"/>
            <w:vAlign w:val="center"/>
          </w:tcPr>
          <w:p w14:paraId="6B081207">
            <w:pPr>
              <w:widowControl/>
              <w:spacing w:line="360" w:lineRule="exact"/>
              <w:jc w:val="left"/>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9%（GB 20052-2020表6）</w:t>
            </w:r>
          </w:p>
        </w:tc>
        <w:tc>
          <w:tcPr>
            <w:tcW w:w="2880" w:type="dxa"/>
            <w:noWrap w:val="0"/>
            <w:vAlign w:val="center"/>
          </w:tcPr>
          <w:p w14:paraId="104B1272">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9~12%（GB 20052-2024表6）</w:t>
            </w:r>
          </w:p>
        </w:tc>
      </w:tr>
      <w:tr w14:paraId="1173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D6C0ED0">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短路阻抗要求</w:t>
            </w:r>
          </w:p>
        </w:tc>
        <w:tc>
          <w:tcPr>
            <w:tcW w:w="700" w:type="dxa"/>
            <w:noWrap w:val="0"/>
            <w:vAlign w:val="center"/>
          </w:tcPr>
          <w:p w14:paraId="152324CD">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是</w:t>
            </w:r>
          </w:p>
        </w:tc>
        <w:tc>
          <w:tcPr>
            <w:tcW w:w="2960" w:type="dxa"/>
            <w:noWrap w:val="0"/>
            <w:vAlign w:val="center"/>
          </w:tcPr>
          <w:p w14:paraId="031EA982">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更改了110kV油浸式三相双绕组有载调压电力变压器的短路阻抗要求</w:t>
            </w:r>
          </w:p>
        </w:tc>
        <w:tc>
          <w:tcPr>
            <w:tcW w:w="2970" w:type="dxa"/>
            <w:noWrap w:val="0"/>
            <w:vAlign w:val="center"/>
          </w:tcPr>
          <w:p w14:paraId="756FFE66">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10.5%（GB 20052-2020表10）</w:t>
            </w:r>
          </w:p>
        </w:tc>
        <w:tc>
          <w:tcPr>
            <w:tcW w:w="2880" w:type="dxa"/>
            <w:noWrap w:val="0"/>
            <w:vAlign w:val="center"/>
          </w:tcPr>
          <w:p w14:paraId="11B9D20B">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10.5~18%（GB 20052-2024表10）</w:t>
            </w:r>
          </w:p>
        </w:tc>
      </w:tr>
      <w:tr w14:paraId="4F07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E957D66">
            <w:pPr>
              <w:widowControl/>
              <w:spacing w:line="360" w:lineRule="exact"/>
              <w:jc w:val="left"/>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rPr>
              <w:t>短路阻抗要求</w:t>
            </w:r>
          </w:p>
        </w:tc>
        <w:tc>
          <w:tcPr>
            <w:tcW w:w="700" w:type="dxa"/>
            <w:noWrap w:val="0"/>
            <w:vAlign w:val="center"/>
          </w:tcPr>
          <w:p w14:paraId="4F7C836A">
            <w:pPr>
              <w:widowControl/>
              <w:spacing w:line="360" w:lineRule="exact"/>
              <w:jc w:val="left"/>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rPr>
              <w:t>是</w:t>
            </w:r>
          </w:p>
        </w:tc>
        <w:tc>
          <w:tcPr>
            <w:tcW w:w="2960" w:type="dxa"/>
            <w:noWrap w:val="0"/>
            <w:vAlign w:val="center"/>
          </w:tcPr>
          <w:p w14:paraId="246F82CA">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更改了220kV油浸式三相三绕组有载调压自耦电力变压器的短路阻抗要求</w:t>
            </w:r>
          </w:p>
        </w:tc>
        <w:tc>
          <w:tcPr>
            <w:tcW w:w="2970" w:type="dxa"/>
            <w:noWrap w:val="0"/>
            <w:vAlign w:val="center"/>
          </w:tcPr>
          <w:p w14:paraId="3180BFD6">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高—中8~11%</w:t>
            </w:r>
          </w:p>
          <w:p w14:paraId="4AB0B333">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高—低28~34%</w:t>
            </w:r>
          </w:p>
          <w:p w14:paraId="2A6E12B7">
            <w:pPr>
              <w:widowControl/>
              <w:spacing w:line="360" w:lineRule="exact"/>
              <w:jc w:val="left"/>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中—低18~24%</w:t>
            </w:r>
          </w:p>
          <w:p w14:paraId="065FC98E">
            <w:pPr>
              <w:widowControl/>
              <w:spacing w:line="360" w:lineRule="exact"/>
              <w:jc w:val="left"/>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（GB 20052-2020表17）</w:t>
            </w:r>
          </w:p>
        </w:tc>
        <w:tc>
          <w:tcPr>
            <w:tcW w:w="2880" w:type="dxa"/>
            <w:noWrap w:val="0"/>
            <w:vAlign w:val="center"/>
          </w:tcPr>
          <w:p w14:paraId="2B6038F2">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高—中8~14%</w:t>
            </w:r>
          </w:p>
          <w:p w14:paraId="07FA4EA6">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高—低28~64%</w:t>
            </w:r>
          </w:p>
          <w:p w14:paraId="3641E258">
            <w:pPr>
              <w:widowControl/>
              <w:spacing w:line="360" w:lineRule="exact"/>
              <w:jc w:val="left"/>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中—低18~50%</w:t>
            </w:r>
          </w:p>
          <w:p w14:paraId="4229BD93">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（GB 20052-2024表17）</w:t>
            </w:r>
          </w:p>
        </w:tc>
      </w:tr>
      <w:tr w14:paraId="2B11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007C862">
            <w:pPr>
              <w:widowControl/>
              <w:spacing w:line="360" w:lineRule="exact"/>
              <w:jc w:val="left"/>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rPr>
              <w:t>短路阻抗要求</w:t>
            </w:r>
          </w:p>
        </w:tc>
        <w:tc>
          <w:tcPr>
            <w:tcW w:w="700" w:type="dxa"/>
            <w:noWrap w:val="0"/>
            <w:vAlign w:val="center"/>
          </w:tcPr>
          <w:p w14:paraId="46A0DBEB">
            <w:pPr>
              <w:widowControl/>
              <w:spacing w:line="360" w:lineRule="exact"/>
              <w:jc w:val="left"/>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rPr>
              <w:t>是</w:t>
            </w:r>
          </w:p>
        </w:tc>
        <w:tc>
          <w:tcPr>
            <w:tcW w:w="2960" w:type="dxa"/>
            <w:noWrap w:val="0"/>
            <w:vAlign w:val="center"/>
          </w:tcPr>
          <w:p w14:paraId="594DB09C">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更改了500kV油浸式单相三绕组无励磁调压自耦电力变压器中压线端调压的短路阻抗要求</w:t>
            </w:r>
          </w:p>
        </w:tc>
        <w:tc>
          <w:tcPr>
            <w:tcW w:w="2970" w:type="dxa"/>
            <w:noWrap w:val="0"/>
            <w:vAlign w:val="center"/>
          </w:tcPr>
          <w:p w14:paraId="5FBFDB81">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高—中14~15%</w:t>
            </w:r>
          </w:p>
          <w:p w14:paraId="3463045D">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高—低42~46%</w:t>
            </w:r>
          </w:p>
          <w:p w14:paraId="027471A4">
            <w:pPr>
              <w:widowControl/>
              <w:spacing w:line="360" w:lineRule="exact"/>
              <w:jc w:val="left"/>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中—低28~30%</w:t>
            </w:r>
          </w:p>
          <w:p w14:paraId="7AAC68B2">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（GB 20052-2020表27）</w:t>
            </w:r>
          </w:p>
        </w:tc>
        <w:tc>
          <w:tcPr>
            <w:tcW w:w="2880" w:type="dxa"/>
            <w:noWrap w:val="0"/>
            <w:vAlign w:val="center"/>
          </w:tcPr>
          <w:p w14:paraId="56561ED6">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高—中14~22%</w:t>
            </w:r>
          </w:p>
          <w:p w14:paraId="5C9C3884">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高—低42~64%</w:t>
            </w:r>
          </w:p>
          <w:p w14:paraId="47F6DB63">
            <w:pPr>
              <w:widowControl/>
              <w:spacing w:line="360" w:lineRule="exact"/>
              <w:jc w:val="left"/>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中—低28~40%</w:t>
            </w:r>
          </w:p>
          <w:p w14:paraId="404AFD34">
            <w:pPr>
              <w:widowControl/>
              <w:spacing w:line="360" w:lineRule="exact"/>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（GB 20052-2024表27）</w:t>
            </w:r>
          </w:p>
        </w:tc>
      </w:tr>
    </w:tbl>
    <w:p w14:paraId="4C85A9A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6FA9C5"/>
    <w:multiLevelType w:val="multilevel"/>
    <w:tmpl w:val="F56FA9C5"/>
    <w:lvl w:ilvl="0" w:tentative="0">
      <w:start w:val="1"/>
      <w:numFmt w:val="decimal"/>
      <w:suff w:val="space"/>
      <w:lvlText w:val="%1."/>
      <w:lvlJc w:val="left"/>
    </w:lvl>
    <w:lvl w:ilvl="1" w:tentative="0">
      <w:start w:val="1"/>
      <w:numFmt w:val="decimal"/>
      <w:isLgl/>
      <w:lvlText w:val="%1.%2"/>
      <w:lvlJc w:val="left"/>
      <w:pPr>
        <w:ind w:left="480" w:hanging="48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OGIwYTBhMzEzNzI2YTIzZWE2MGRkYzgwMzljNDIifQ=="/>
  </w:docVars>
  <w:rsids>
    <w:rsidRoot w:val="5C74750C"/>
    <w:rsid w:val="000A745A"/>
    <w:rsid w:val="0036392A"/>
    <w:rsid w:val="003703E7"/>
    <w:rsid w:val="00557A2A"/>
    <w:rsid w:val="0C2273CE"/>
    <w:rsid w:val="191B27A2"/>
    <w:rsid w:val="1AE41750"/>
    <w:rsid w:val="3A3630F7"/>
    <w:rsid w:val="3F3747C4"/>
    <w:rsid w:val="3F4B072D"/>
    <w:rsid w:val="42013C43"/>
    <w:rsid w:val="439D0A74"/>
    <w:rsid w:val="51B75EEE"/>
    <w:rsid w:val="5C74750C"/>
    <w:rsid w:val="628F3CC4"/>
    <w:rsid w:val="66227109"/>
    <w:rsid w:val="67DB3944"/>
    <w:rsid w:val="6862305C"/>
    <w:rsid w:val="692B27F3"/>
    <w:rsid w:val="6EBC193D"/>
    <w:rsid w:val="75B0265A"/>
    <w:rsid w:val="7F874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link w:val="9"/>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Body Text 2"/>
    <w:basedOn w:val="1"/>
    <w:next w:val="1"/>
    <w:qFormat/>
    <w:uiPriority w:val="0"/>
    <w:pPr>
      <w:spacing w:line="240" w:lineRule="auto"/>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firstLine="420" w:firstLineChars="200"/>
    </w:pPr>
  </w:style>
  <w:style w:type="character" w:customStyle="1" w:styleId="9">
    <w:name w:val="标题 3 字符"/>
    <w:basedOn w:val="7"/>
    <w:link w:val="3"/>
    <w:qFormat/>
    <w:uiPriority w:val="0"/>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05553-3312-4F26-91A5-38D217B02131}">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3</Pages>
  <Words>1118</Words>
  <Characters>1619</Characters>
  <Lines>57</Lines>
  <Paragraphs>16</Paragraphs>
  <TotalTime>0</TotalTime>
  <ScaleCrop>false</ScaleCrop>
  <LinksUpToDate>false</LinksUpToDate>
  <CharactersWithSpaces>1645</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2023-08-09T08:15:00Z</dcterms:created>
  <dc:creator>张恺</dc:creator>
  <cp:lastModifiedBy>张恺</cp:lastModifiedBy>
  <dcterms:modified xsi:type="dcterms:W3CDTF">2024-07-16T10:23:28Z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F29D8A8E729D437A85DF0EA684C7FD20_13</vt:lpwstr>
  </property>
</Properties>
</file>