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F453" w14:textId="77777777" w:rsidR="00F03545" w:rsidRPr="003E09C7" w:rsidRDefault="00AA1224" w:rsidP="003E09C7">
      <w:pPr>
        <w:spacing w:line="276" w:lineRule="auto"/>
        <w:rPr>
          <w:sz w:val="24"/>
          <w:szCs w:val="24"/>
        </w:rPr>
      </w:pPr>
      <w:r w:rsidRPr="003E09C7">
        <w:rPr>
          <w:sz w:val="24"/>
          <w:szCs w:val="24"/>
        </w:rPr>
        <w:t>附件</w:t>
      </w:r>
      <w:r w:rsidRPr="003E09C7">
        <w:rPr>
          <w:rFonts w:hint="eastAsia"/>
          <w:sz w:val="24"/>
          <w:szCs w:val="24"/>
        </w:rPr>
        <w:t>1</w:t>
      </w:r>
      <w:r w:rsidRPr="003E09C7">
        <w:rPr>
          <w:rFonts w:hint="eastAsia"/>
          <w:sz w:val="24"/>
          <w:szCs w:val="24"/>
        </w:rPr>
        <w:t>：</w:t>
      </w:r>
    </w:p>
    <w:p w14:paraId="00FAF424" w14:textId="2F57D612" w:rsidR="00F03545" w:rsidRPr="003E09C7" w:rsidRDefault="00AA1224" w:rsidP="003E09C7">
      <w:pPr>
        <w:spacing w:line="276" w:lineRule="auto"/>
        <w:jc w:val="center"/>
        <w:rPr>
          <w:b/>
          <w:sz w:val="28"/>
          <w:szCs w:val="28"/>
        </w:rPr>
      </w:pPr>
      <w:r w:rsidRPr="003E09C7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GB/T </w:t>
      </w:r>
      <w:r w:rsidR="008E2877" w:rsidRPr="003E09C7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15579.</w:t>
      </w:r>
      <w:r w:rsidR="004E6208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7</w:t>
      </w:r>
      <w:r w:rsidR="008E2877" w:rsidRPr="003E09C7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-2013</w:t>
      </w:r>
      <w:r w:rsidRPr="003E09C7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 xml:space="preserve">与GB/T </w:t>
      </w:r>
      <w:r w:rsidR="008E2877" w:rsidRPr="003E09C7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15579.</w:t>
      </w:r>
      <w:r w:rsidR="004E6208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7</w:t>
      </w:r>
      <w:r w:rsidR="008E2877" w:rsidRPr="003E09C7">
        <w:rPr>
          <w:rFonts w:asciiTheme="minorEastAsia" w:eastAsiaTheme="minorEastAsia" w:hAnsiTheme="minorEastAsia" w:cs="宋体"/>
          <w:b/>
          <w:kern w:val="0"/>
          <w:sz w:val="28"/>
          <w:szCs w:val="28"/>
        </w:rPr>
        <w:t>-2023</w:t>
      </w:r>
      <w:r w:rsidRPr="003E09C7">
        <w:rPr>
          <w:rFonts w:hint="eastAsia"/>
          <w:b/>
          <w:sz w:val="28"/>
          <w:szCs w:val="28"/>
        </w:rPr>
        <w:t>新旧版标准差异分析及补充试验</w:t>
      </w:r>
      <w:r w:rsidRPr="003E09C7">
        <w:rPr>
          <w:rFonts w:hint="eastAsia"/>
          <w:b/>
          <w:sz w:val="28"/>
          <w:szCs w:val="28"/>
        </w:rPr>
        <w:t>/</w:t>
      </w:r>
      <w:r w:rsidRPr="003E09C7">
        <w:rPr>
          <w:rFonts w:hint="eastAsia"/>
          <w:b/>
          <w:sz w:val="28"/>
          <w:szCs w:val="28"/>
        </w:rPr>
        <w:t>核查要求</w:t>
      </w:r>
    </w:p>
    <w:p w14:paraId="3674B06B" w14:textId="77777777" w:rsidR="00F03545" w:rsidRPr="003E09C7" w:rsidRDefault="00AA1224" w:rsidP="003E09C7">
      <w:pPr>
        <w:spacing w:line="276" w:lineRule="auto"/>
        <w:ind w:firstLineChars="100" w:firstLine="281"/>
        <w:jc w:val="left"/>
        <w:rPr>
          <w:b/>
          <w:sz w:val="28"/>
          <w:szCs w:val="28"/>
        </w:rPr>
      </w:pPr>
      <w:r w:rsidRPr="003E09C7">
        <w:rPr>
          <w:rFonts w:hint="eastAsia"/>
          <w:b/>
          <w:sz w:val="28"/>
          <w:szCs w:val="28"/>
        </w:rPr>
        <w:t>本文件中补充试验</w:t>
      </w:r>
      <w:r w:rsidRPr="003E09C7">
        <w:rPr>
          <w:rFonts w:hint="eastAsia"/>
          <w:b/>
          <w:sz w:val="28"/>
          <w:szCs w:val="28"/>
        </w:rPr>
        <w:t>/</w:t>
      </w:r>
      <w:r w:rsidRPr="003E09C7">
        <w:rPr>
          <w:rFonts w:hint="eastAsia"/>
          <w:b/>
          <w:sz w:val="28"/>
          <w:szCs w:val="28"/>
        </w:rPr>
        <w:t>核查要求针对标准换版，如产品有变更，应按新版标准要求进行试验</w:t>
      </w:r>
      <w:r w:rsidRPr="003E09C7">
        <w:rPr>
          <w:rFonts w:hint="eastAsia"/>
          <w:b/>
          <w:sz w:val="28"/>
          <w:szCs w:val="28"/>
        </w:rPr>
        <w:t>/</w:t>
      </w:r>
      <w:r w:rsidRPr="003E09C7">
        <w:rPr>
          <w:rFonts w:hint="eastAsia"/>
          <w:b/>
          <w:sz w:val="28"/>
          <w:szCs w:val="28"/>
        </w:rPr>
        <w:t>核查。</w:t>
      </w:r>
    </w:p>
    <w:tbl>
      <w:tblPr>
        <w:tblW w:w="15430" w:type="dxa"/>
        <w:tblInd w:w="-289" w:type="dxa"/>
        <w:tblLook w:val="04A0" w:firstRow="1" w:lastRow="0" w:firstColumn="1" w:lastColumn="0" w:noHBand="0" w:noVBand="1"/>
      </w:tblPr>
      <w:tblGrid>
        <w:gridCol w:w="1266"/>
        <w:gridCol w:w="829"/>
        <w:gridCol w:w="1806"/>
        <w:gridCol w:w="1603"/>
        <w:gridCol w:w="3918"/>
        <w:gridCol w:w="3658"/>
        <w:gridCol w:w="2350"/>
      </w:tblGrid>
      <w:tr w:rsidR="00F03545" w:rsidRPr="003E09C7" w14:paraId="73B64169" w14:textId="77777777" w:rsidTr="00F476AA">
        <w:trPr>
          <w:trHeight w:val="285"/>
          <w:tblHeader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0BA36" w14:textId="77777777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涉及认证人员种类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4778A" w14:textId="77777777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AE5BE" w14:textId="77777777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章节名称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C6032" w14:textId="77777777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差异项目条款号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4484" w14:textId="6E52F356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GB/T </w:t>
            </w:r>
            <w:r w:rsidR="006E5250" w:rsidRPr="006E525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15579.</w:t>
            </w:r>
            <w:r w:rsidR="004E6208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7</w:t>
            </w:r>
            <w:r w:rsidR="006E5250" w:rsidRPr="006E525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-2013</w:t>
            </w: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5A96" w14:textId="74F8A692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 xml:space="preserve">GB/T </w:t>
            </w:r>
            <w:r w:rsidR="006E5250" w:rsidRPr="006E525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15579.</w:t>
            </w:r>
            <w:r w:rsidR="004E6208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7</w:t>
            </w:r>
            <w:r w:rsidR="006E5250" w:rsidRPr="006E5250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-2023</w:t>
            </w: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81625" w14:textId="77777777" w:rsidR="00F03545" w:rsidRPr="003E09C7" w:rsidRDefault="00AA1224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补充试验/核查</w:t>
            </w:r>
          </w:p>
        </w:tc>
      </w:tr>
      <w:tr w:rsidR="00FA07C9" w:rsidRPr="003E09C7" w14:paraId="7C85C0EB" w14:textId="77777777" w:rsidTr="00F476AA">
        <w:trPr>
          <w:trHeight w:val="74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DB926" w14:textId="3A2D4DE6" w:rsidR="00FA07C9" w:rsidRPr="003E09C7" w:rsidRDefault="00FA07C9" w:rsidP="001C40B6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bookmarkStart w:id="0" w:name="_GoBack"/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中心具备</w:t>
            </w:r>
            <w:r w:rsidR="00B57B6D"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18</w:t>
            </w:r>
            <w:r w:rsidR="00B57B6D"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.0</w:t>
            </w:r>
            <w:r w:rsidR="00B57B6D"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  <w:r w:rsidR="00B57B6D"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.4</w:t>
            </w:r>
            <w:r w:rsidR="00B57B6D"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424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专业的认证管理人员；认证决定人员；检查员</w:t>
            </w:r>
          </w:p>
          <w:bookmarkEnd w:id="0"/>
          <w:p w14:paraId="35293167" w14:textId="050152AF" w:rsidR="00FA07C9" w:rsidRPr="001C40B6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90CAB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7C433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范围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ECEB0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C20EF" w14:textId="39C92C3D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99F3" w14:textId="6A54418F" w:rsidR="00FA07C9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新增：1、适用于手工、机械导向、气冷、液体冷却、电动、带焊丝盘的和排烟式焊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（枪）；</w:t>
            </w:r>
          </w:p>
          <w:p w14:paraId="11D8595A" w14:textId="455EEB10" w:rsidR="00FA07C9" w:rsidRPr="004F7C74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2、</w:t>
            </w:r>
            <w:r w:rsidRPr="004F7C7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本文件也适用于连接在电源和辅助设备之间的电缆软管组件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89415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5B796DC4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6E8AA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8DCF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5260E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规范性引用文件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1911F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92848" w14:textId="3B7889EE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仅标注了GB</w:t>
            </w:r>
            <w:r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15579.1-2013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和IEC标准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B19B6" w14:textId="36D92C41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标准了相关IEC标准并在“注”中标注了对应国家标准，新增引用文件：“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ISO 21904-3：2018、IEC 60695-11-10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删除：“IEC 60664-1、IEC 60974-2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646DD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7CFEDE21" w14:textId="77777777" w:rsidTr="00F476AA">
        <w:trPr>
          <w:trHeight w:val="72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4DE1B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98CDA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D2EE8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术语和定义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D5E76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DA92A" w14:textId="181D4C5D" w:rsidR="00FA07C9" w:rsidRPr="003E09C7" w:rsidRDefault="0095617A" w:rsidP="0095617A">
            <w:pPr>
              <w:widowControl/>
              <w:spacing w:line="276" w:lineRule="auto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见GB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15579.7-2023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第3章内容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D4D67" w14:textId="77777777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新增：“ISO和IEC标准化的术语数据库网址”</w:t>
            </w:r>
          </w:p>
          <w:p w14:paraId="147CCE28" w14:textId="382B6F3A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删除术语：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3.6不熔化极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  <w:p w14:paraId="568F70FF" w14:textId="1FBE5676" w:rsidR="00FA07C9" w:rsidRPr="003E09C7" w:rsidRDefault="00FA07C9" w:rsidP="003E09C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增加术语</w:t>
            </w: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（枪）耦合装置、3.22排烟焊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</w:t>
            </w:r>
            <w:r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BE14" w14:textId="77777777" w:rsidR="00FA07C9" w:rsidRPr="003E09C7" w:rsidRDefault="00FA07C9" w:rsidP="003E09C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6EBCCEA0" w14:textId="77777777" w:rsidTr="00F476AA">
        <w:trPr>
          <w:trHeight w:val="12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C8229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A4793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87C5C" w14:textId="01BF398D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环境条件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7CAD6" w14:textId="1651029B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6581" w14:textId="77777777" w:rsidR="00FA07C9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正常工作湿度：</w:t>
            </w:r>
          </w:p>
          <w:p w14:paraId="169D3F6C" w14:textId="62AD6CDE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空气相对湿度：20℃时不超过90%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5F522" w14:textId="77777777" w:rsidR="00FA07C9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正常工作湿度：</w:t>
            </w:r>
          </w:p>
          <w:p w14:paraId="2996D73F" w14:textId="0E8B744C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空气相对湿度：40℃时不超过50%；20℃时不超过90%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9799" w14:textId="26030BD4" w:rsidR="00FA07C9" w:rsidRPr="003E09C7" w:rsidRDefault="00FA07C9" w:rsidP="00734467">
            <w:pPr>
              <w:widowControl/>
              <w:spacing w:line="276" w:lineRule="auto"/>
              <w:jc w:val="center"/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6683CBC5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7F1B6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0B486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A579E" w14:textId="72C709FD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分类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00132" w14:textId="0FA5071B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8DD" w14:textId="201D774B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0DFD" w14:textId="433E5572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6560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18703012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3AEFD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CDCAD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ABE9A" w14:textId="77777777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EE70C" w14:textId="70FE66ED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 w:rsidRPr="003E09C7">
              <w:rPr>
                <w:rFonts w:asciiTheme="minorEastAsia" w:eastAsiaTheme="minorEastAsia" w:hAnsiTheme="minorEastAsia" w:cs="宋体"/>
                <w:kern w:val="0"/>
                <w:szCs w:val="21"/>
              </w:rPr>
              <w:t>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8DAD" w14:textId="55E72FFA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20947" w14:textId="28B19778" w:rsidR="00FA07C9" w:rsidRPr="003E09C7" w:rsidRDefault="00FA07C9" w:rsidP="00734467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C40F" w14:textId="09F94F90" w:rsidR="00FA07C9" w:rsidRPr="003E09C7" w:rsidRDefault="00FA07C9" w:rsidP="00734467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22BEA49C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89AC1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5CA29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95DE2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3A2E3" w14:textId="0602EE90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C94A3" w14:textId="2364827D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1791" w14:textId="1E2D82FB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7F42A" w14:textId="3540C136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46190067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1ED58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B3624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8CF81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D6C31" w14:textId="30F963AD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608" w14:textId="3F7AAA9D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8EFD7" w14:textId="1C81E583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5EA44" w14:textId="123F3C80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183B632E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A8497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D9787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B0DDA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F4F1E" w14:textId="12050611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1374" w14:textId="5D736C95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63603" w14:textId="59EF01AB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E803" w14:textId="258112CA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68D20A18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D31BC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9EC17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2EC53" w14:textId="6FFFC281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试验条件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0E7F1" w14:textId="7ADA1BCE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F06CF" w14:textId="4C6B49EE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5756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电气测量仪表:0.5级(满量程的士0.5%)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E925" w14:textId="79ED7013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5756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电气测量仪表:1级(满量程读数的士1%)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2840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6D420D55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B1A08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29825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3AB37" w14:textId="77777777" w:rsidR="00FA07C9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C4CC6" w14:textId="5E90804C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A2211" w14:textId="58A9E593" w:rsidR="00FA07C9" w:rsidRPr="003E5E3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a）~h）顺序进行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9D3B8" w14:textId="3F7D4FA2" w:rsidR="00FA07C9" w:rsidRPr="003E5E3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新增h）额定引弧和稳弧电压的要求，按7.5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291D" w14:textId="5B0782E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</w:t>
            </w:r>
            <w:r w:rsidR="004B48B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</w:t>
            </w:r>
            <w:r w:rsidR="004B48BA" w:rsidRPr="004B48B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有引弧和稳弧装置的焊</w:t>
            </w:r>
            <w:proofErr w:type="gramStart"/>
            <w:r w:rsidR="004B48BA" w:rsidRPr="004B48B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="004B48BA" w:rsidRPr="004B48B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</w:t>
            </w:r>
            <w:r w:rsidR="004B48B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额定引弧和稳弧电压要求试验</w:t>
            </w:r>
          </w:p>
        </w:tc>
      </w:tr>
      <w:tr w:rsidR="00FA07C9" w:rsidRPr="003E09C7" w14:paraId="7957A7F3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85D23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9FD20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0A6AB" w14:textId="77777777" w:rsidR="00FA07C9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B322" w14:textId="46019A38" w:rsidR="00FA07C9" w:rsidRPr="000F221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6.3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2DDFE" w14:textId="6AB80C59" w:rsidR="00FA07C9" w:rsidRPr="003E5E3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2D6C" w14:textId="7BF681E3" w:rsidR="00FA07C9" w:rsidRPr="003E5E3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3B09" w14:textId="3AE1D621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07C9" w:rsidRPr="003E09C7" w14:paraId="00A29800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A3BAB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0001D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12F14" w14:textId="6B35249C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防触电保护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7E43C" w14:textId="1E5AB082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C70F" w14:textId="3EC94C8B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（枪）电压的额定限值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D4DD" w14:textId="77777777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表1更改描述：机械夹持更改为机械导向；</w:t>
            </w:r>
          </w:p>
          <w:p w14:paraId="63106E8D" w14:textId="4610CFBD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新增机械导向的埋弧焊焊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（枪）的额定限制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E0AD7" w14:textId="576FA4BF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A07C9" w:rsidRPr="003E09C7" w14:paraId="7AA96600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BBDC0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B4974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DA914" w14:textId="77777777" w:rsidR="00FA07C9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C381B" w14:textId="678B1B13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16DD4" w14:textId="43247522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F27F8" w14:textId="68AE7BE1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D39A6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A07C9" w:rsidRPr="003E09C7" w14:paraId="660AE4EF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69C79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DC3D2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E1E69" w14:textId="77777777" w:rsidR="00FA07C9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19B28" w14:textId="05766498" w:rsidR="00FA07C9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7.3.1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F74E" w14:textId="77777777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</w:t>
            </w:r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对于手工操作的等离子弧割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的手柄和切割回路之间,应能承受有效值为3750V的试验电压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  <w:p w14:paraId="1A6A0E6C" w14:textId="0A7F6D53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2、</w:t>
            </w:r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如果焊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(枪)与叠加有引弧和/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或稳弧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电压的焊接电源配套使用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F69B" w14:textId="77777777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1、删除3750V试验电压；</w:t>
            </w:r>
          </w:p>
          <w:p w14:paraId="70A124FE" w14:textId="77777777" w:rsidR="00FA07C9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2、删除</w:t>
            </w:r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焊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(枪)与叠加有引弧和/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或稳弧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电压的焊接电源配套使用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特殊要求；</w:t>
            </w:r>
          </w:p>
          <w:p w14:paraId="71B8043F" w14:textId="4EAA4198" w:rsidR="00FA07C9" w:rsidRPr="003E09C7" w:rsidRDefault="00FA07C9" w:rsidP="0095756F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DBE0" w14:textId="77777777" w:rsidR="00FA07C9" w:rsidRPr="003E09C7" w:rsidRDefault="00FA07C9" w:rsidP="0095756F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476AA" w:rsidRPr="003E09C7" w14:paraId="0E16AFC9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0154C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DBB89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02FB9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721F" w14:textId="3B610314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7.3.2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DE5A8" w14:textId="13BFD881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02211" w14:textId="1B55C4CB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</w:t>
            </w:r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除了手动操作的等离子割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外,割</w:t>
            </w:r>
            <w:proofErr w:type="gramStart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手柄和切割回路在介电强度试验期间应能承受3750V的试验电压,电极和等离子喷嘴应电气连接。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BD52" w14:textId="4D9979CB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新增：对等离子割炬进行耐压试验</w:t>
            </w:r>
          </w:p>
        </w:tc>
      </w:tr>
      <w:tr w:rsidR="00F476AA" w:rsidRPr="003E09C7" w14:paraId="3386DE61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19845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B744B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94A4C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41269" w14:textId="7AB9FD1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7.4.1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326F4" w14:textId="4C2FDAEF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2C31" w14:textId="4AD72A37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</w:t>
            </w:r>
            <w:r w:rsidRPr="00A4168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电缆软管组件应满足防护等级 IP3X。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2D91" w14:textId="04D46E31" w:rsidR="00F476AA" w:rsidRPr="00A4168C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如有电缆软管组件的焊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（枪），应新增试验IP3X；</w:t>
            </w:r>
          </w:p>
        </w:tc>
      </w:tr>
      <w:tr w:rsidR="00F476AA" w:rsidRPr="003E09C7" w14:paraId="0E47DC66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310E3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BA7A3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AFA85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9A626" w14:textId="0CEBE86E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7.4.2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AD83" w14:textId="170D68FF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4CCA" w14:textId="61766BAB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等离子切割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的附加要求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按</w:t>
            </w:r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IEC60974-1:2021的6.3.4。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9ED2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476AA" w:rsidRPr="003E09C7" w14:paraId="178F6ACE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827E5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F7307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CB088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D14D8" w14:textId="7593443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7.5.1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683A" w14:textId="2DAD64C0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C5708" w14:textId="2026E734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新增：引弧和稳弧电压的要求：</w:t>
            </w:r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用于具有引弧和稳弧装置的焊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(枪)应具有引弧和稳弧电压额定值。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对于钨极惰性气体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保护焊(TIG)和等离子弧焊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(枪),额定引弧和/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或稳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弧电压应由制造商确定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9F33" w14:textId="6575738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018E7A8B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7AF34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95C38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3B3C6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48E31" w14:textId="12702B69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7.5.2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D0C9" w14:textId="5D865A0D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6079" w14:textId="78FB8DA2" w:rsidR="00F476AA" w:rsidRPr="00CC4261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新增引弧和稳弧电压试验：</w:t>
            </w:r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焊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(枪)的绝缘应能承受试验电压而不出现闪</w:t>
            </w:r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络或击穿。允许电晕放电液体冷却式焊</w:t>
            </w:r>
            <w:proofErr w:type="gramStart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C426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(枪)可在不通冷却液的情况下进行试验。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D74D" w14:textId="32D7F8E8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新增引弧和稳弧电压试验</w:t>
            </w:r>
          </w:p>
        </w:tc>
      </w:tr>
      <w:tr w:rsidR="00F476AA" w:rsidRPr="003E09C7" w14:paraId="6F7B25F5" w14:textId="77777777" w:rsidTr="00F476AA">
        <w:trPr>
          <w:trHeight w:val="96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DECD2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4FF3C" w14:textId="7810B864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A7B1B" w14:textId="0CF9506C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热额定值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1807D" w14:textId="2C64146A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38C3" w14:textId="4B5248C9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6835" w14:textId="77777777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</w:t>
            </w:r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机械导向的焊</w:t>
            </w:r>
            <w:proofErr w:type="gramStart"/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(枪)额定负载持续率应为100%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  <w:p w14:paraId="077D8CA0" w14:textId="70272A37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排烟焊</w:t>
            </w:r>
            <w:proofErr w:type="gramStart"/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3C6A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(枪)的额定值应与制造商规定的额定抽气流量对应，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8C4C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43D210FB" w14:textId="77777777" w:rsidTr="00F476AA">
        <w:trPr>
          <w:trHeight w:val="53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BE17E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6717F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CDCFF" w14:textId="77777777" w:rsidR="00F476AA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6DD87" w14:textId="059EE074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7B67" w14:textId="3B1579E3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05D1" w14:textId="17900E6A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163F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476AA" w:rsidRPr="003E09C7" w14:paraId="58EACDB6" w14:textId="77777777" w:rsidTr="00F476AA">
        <w:trPr>
          <w:trHeight w:val="53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D4C63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84B2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710AC" w14:textId="77777777" w:rsidR="00F476AA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76E99" w14:textId="460C96B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.3.1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D4CC" w14:textId="6BFF4053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2818F" w14:textId="0854E81B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1、增加最热测量温度点：电缆软管组件；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110B6" w14:textId="53C32812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温升试验增加电缆软管温度测量点；</w:t>
            </w:r>
          </w:p>
        </w:tc>
      </w:tr>
      <w:tr w:rsidR="00F476AA" w:rsidRPr="003E09C7" w14:paraId="4817C85F" w14:textId="77777777" w:rsidTr="00F476AA">
        <w:trPr>
          <w:trHeight w:val="53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9FCB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0EE2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C81D1" w14:textId="77777777" w:rsidR="00F476AA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D053F" w14:textId="626E4A7D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.3.2                                                                            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EFEF4" w14:textId="58E426E2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7B1E7" w14:textId="43B48ABC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0CDE7" w14:textId="74EFE811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7128F097" w14:textId="77777777" w:rsidTr="00F476AA">
        <w:trPr>
          <w:trHeight w:val="53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A068C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A2A44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41A7D" w14:textId="77777777" w:rsidR="00F476AA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91890" w14:textId="64B6558E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.3.4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F633" w14:textId="0B12B480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4CA9D" w14:textId="5CC57ECA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D9278" w14:textId="32A6B8CE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19E1A1B1" w14:textId="77777777" w:rsidTr="00F476AA">
        <w:trPr>
          <w:trHeight w:val="53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DC8E" w14:textId="77777777" w:rsidR="00F476AA" w:rsidRPr="003E09C7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41524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BF2F3" w14:textId="77777777" w:rsidR="00F476AA" w:rsidRDefault="00F476AA" w:rsidP="00F476AA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42B31" w14:textId="6C32EBD2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.3.5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9EB9E" w14:textId="49DF7DC4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无相关内容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C7C92" w14:textId="77777777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新增：埋弧焊焊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（枪）：</w:t>
            </w:r>
          </w:p>
          <w:p w14:paraId="5960C6C4" w14:textId="3D89150C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埋弧焊焊</w:t>
            </w:r>
            <w:proofErr w:type="gramStart"/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(枪)应在下列条件下进行试验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：a）</w:t>
            </w:r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以额定焊接电流和相应的额定负载持续率进行试验，见8.1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；b</w:t>
            </w:r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)使用制造商规定的焊丝和焊剂类型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；c）</w:t>
            </w:r>
            <w:r w:rsidRPr="00DB2D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使用制造商规定的电流类型和电极极性。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3A25" w14:textId="14282C1D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对埋弧焊炬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（枪）的特殊要求，按8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进行试验；</w:t>
            </w:r>
          </w:p>
        </w:tc>
      </w:tr>
      <w:tr w:rsidR="00F476AA" w:rsidRPr="003E09C7" w14:paraId="5D634A4D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F6B8D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DF317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37E5E" w14:textId="7BA58224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液体冷却系统的压力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39ACA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0B87" w14:textId="47C22CB2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51336" w14:textId="59B57E8A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EB7F1" w14:textId="68F3C25C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3CD76C64" w14:textId="77777777" w:rsidTr="00F476AA">
        <w:trPr>
          <w:trHeight w:val="96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65D30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1E5E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CFB12" w14:textId="57718A0C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耐焊接飞溅物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8D800" w14:textId="00DF20A5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35895" w14:textId="2A793F0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6FF20" w14:textId="1A730AC9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本要求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不适用于：a）焊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（枪）耦合装置；b）</w:t>
            </w:r>
            <w:r w:rsidRPr="00B717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电源与辅助设备之间的电缆软管组件耦合装置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d）</w:t>
            </w:r>
            <w:r w:rsidRPr="00B717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连接在电源和辅助设备之间的电缆软管组件,当焊接电缆符合本试验要求时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；e）</w:t>
            </w:r>
            <w:r w:rsidRPr="00B717A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电缆软管组件不属于焊接回路一部分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3762" w14:textId="65E7687E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2DCE1E57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2307D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B0E64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3EA25" w14:textId="4BB8585D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机械防护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A62C9" w14:textId="20EF79DF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C8E96" w14:textId="619E94F4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6FAF8" w14:textId="7A9FC7CB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6B3D6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632C7847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12DF8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D5391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BBEAA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4332" w14:textId="43AAD019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1.2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49AEC" w14:textId="7CA5C70B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2DB3" w14:textId="7ED1EDD3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D6F6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476AA" w:rsidRPr="003E09C7" w14:paraId="3205C778" w14:textId="77777777" w:rsidTr="00F476AA">
        <w:trPr>
          <w:trHeight w:val="4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FB51F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0FEC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3AA46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81B98" w14:textId="0901B48E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1.3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759BB" w14:textId="039FA0E2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27A9" w14:textId="118A2C39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新增：手柄材料：</w:t>
            </w:r>
            <w:r w:rsidRPr="00CB257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根据IEC60695-11-10的规定,手动导向等离子割</w:t>
            </w:r>
            <w:proofErr w:type="gramStart"/>
            <w:r w:rsidRPr="00CB257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CB257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的手柄应具有水平燃烧等级HB或更高的可燃性等级。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0583D" w14:textId="7CCF3CCD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B257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通过检查非金属材料的规格来检查其合格与否</w:t>
            </w:r>
          </w:p>
        </w:tc>
      </w:tr>
      <w:tr w:rsidR="00F476AA" w:rsidRPr="003E09C7" w14:paraId="3728C91E" w14:textId="77777777" w:rsidTr="00F476AA">
        <w:trPr>
          <w:trHeight w:val="135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EC459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F74E1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3C0D2" w14:textId="13FD9201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铭牌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8ED0B" w14:textId="789E7B43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12.1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6DAD" w14:textId="355C8A38" w:rsidR="00F476AA" w:rsidRPr="003E09C7" w:rsidRDefault="00F476AA" w:rsidP="00F476AA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使用GB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15579.1-2013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标准要求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AC22D" w14:textId="443C65B2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均更换为IEC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60974-1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021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相关要求；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EF6B" w14:textId="79854A5D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6A58735E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8577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F783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B2F074" w14:textId="2DE313FA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使用说明书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F6742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F9F9B" w14:textId="77777777" w:rsidR="00F476AA" w:rsidRDefault="00F476AA" w:rsidP="00F476AA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、a）焊接方法</w:t>
            </w:r>
          </w:p>
          <w:p w14:paraId="57E93600" w14:textId="79D1A4CD" w:rsidR="00F476AA" w:rsidRPr="00FA07C9" w:rsidRDefault="00F476AA" w:rsidP="00F476AA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、c）</w:t>
            </w:r>
            <w:r w:rsidRPr="00FA07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电压额定值,包括引弧电压和稳弧电压[仅适用于TIG 焊</w:t>
            </w:r>
            <w:proofErr w:type="gramStart"/>
            <w:r w:rsidRPr="00FA07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 w:rsidRPr="00FA07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(枪)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]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EFB2" w14:textId="77777777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变更描述为：1、a）工艺</w:t>
            </w:r>
          </w:p>
          <w:p w14:paraId="386DF714" w14:textId="77777777" w:rsidR="00F476AA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2、c）</w:t>
            </w:r>
            <w:r w:rsidRPr="00FA07C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引弧和稳弧电压额定值</w:t>
            </w:r>
          </w:p>
          <w:p w14:paraId="28C994D7" w14:textId="2C411E28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新增：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</w:t>
            </w:r>
            <w:proofErr w:type="spell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）对于排烟焊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（枪）的新要求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FB2BA" w14:textId="4E7DACC6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新增排烟焊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炬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（枪）最小吸气流量和压差；及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捕获效率应符合ISO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21904-3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018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的规定</w:t>
            </w:r>
          </w:p>
        </w:tc>
      </w:tr>
      <w:tr w:rsidR="00F476AA" w:rsidRPr="003E09C7" w14:paraId="2A06A76D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FC920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3B9D3" w14:textId="058CD98B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14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CAE64" w14:textId="0A67DE54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附录A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B0AE4" w14:textId="27E2CCF3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DC17E" w14:textId="1E501FB0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表A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D193" w14:textId="383FE33E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表A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新增所有术语的英文翻译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9CDC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7A3340C6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4D2BE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574A0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80168" w14:textId="7777777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AC01B" w14:textId="55F533F2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.2~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.7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8B708" w14:textId="36BDD99A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2850D" w14:textId="2C51BA3E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700B6" w14:textId="15B18B55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8790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202F7B74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1C29C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B57C" w14:textId="47A8E333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63594" w14:textId="5003C7C2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附录B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25F4F" w14:textId="0D41AD42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.1~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B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.3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2CF2" w14:textId="27678B65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C122F" w14:textId="32C72045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7FD8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28BD477D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D2B8B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C3774" w14:textId="4B721454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53AD" w14:textId="528B8047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附录C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EFB79" w14:textId="5D8673D5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232E3" w14:textId="0BEB1AB1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17D1" w14:textId="556BBC7C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96F3C" w14:textId="3D19788B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0D427CD9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3F1DCB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6C72A" w14:textId="6B097E4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38EF7" w14:textId="6515F94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附录D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08B8D" w14:textId="511CD840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D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5053" w14:textId="4CB17BBA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7185" w14:textId="4FE46E2E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CE69" w14:textId="153243CA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  <w:tr w:rsidR="00F476AA" w:rsidRPr="003E09C7" w14:paraId="6C4DC0DC" w14:textId="77777777" w:rsidTr="00F476AA">
        <w:trPr>
          <w:trHeight w:val="28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50629" w14:textId="77777777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3979" w14:textId="63B4C0A5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BA3FC" w14:textId="464789E1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附录E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EC9E5" w14:textId="367671EA" w:rsidR="00F476AA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E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.1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43DBE" w14:textId="0963ABDD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7CE9" w14:textId="4FC4E5E5" w:rsidR="00F476AA" w:rsidRPr="003E09C7" w:rsidRDefault="00F476AA" w:rsidP="00F476AA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无变化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1DD26" w14:textId="445F6750" w:rsidR="00F476AA" w:rsidRPr="003E09C7" w:rsidRDefault="00F476AA" w:rsidP="00F476AA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E09C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</w:tr>
    </w:tbl>
    <w:p w14:paraId="5DE39BE8" w14:textId="7FA3F7D7" w:rsidR="00F03545" w:rsidRPr="003E09C7" w:rsidRDefault="00AA1224" w:rsidP="003E09C7">
      <w:pPr>
        <w:spacing w:beforeLines="50" w:before="156" w:line="276" w:lineRule="auto"/>
        <w:jc w:val="left"/>
        <w:rPr>
          <w:b/>
          <w:sz w:val="28"/>
          <w:szCs w:val="28"/>
        </w:rPr>
      </w:pPr>
      <w:r w:rsidRPr="003E09C7">
        <w:rPr>
          <w:rFonts w:hint="eastAsia"/>
          <w:b/>
          <w:sz w:val="28"/>
          <w:szCs w:val="28"/>
        </w:rPr>
        <w:t>注：标准换版涉及补充试验原则上送样</w:t>
      </w:r>
      <w:r w:rsidR="00FA07C9">
        <w:rPr>
          <w:rFonts w:hint="eastAsia"/>
          <w:b/>
          <w:sz w:val="28"/>
          <w:szCs w:val="28"/>
        </w:rPr>
        <w:t>最大电流</w:t>
      </w:r>
      <w:proofErr w:type="gramStart"/>
      <w:r w:rsidR="00FA07C9">
        <w:rPr>
          <w:rFonts w:hint="eastAsia"/>
          <w:b/>
          <w:sz w:val="28"/>
          <w:szCs w:val="28"/>
        </w:rPr>
        <w:t>及暂载率</w:t>
      </w:r>
      <w:proofErr w:type="gramEnd"/>
      <w:r w:rsidR="00FA07C9">
        <w:rPr>
          <w:rFonts w:hint="eastAsia"/>
          <w:b/>
          <w:sz w:val="28"/>
          <w:szCs w:val="28"/>
        </w:rPr>
        <w:t>或特殊工艺的</w:t>
      </w:r>
      <w:r w:rsidR="004B48BA">
        <w:rPr>
          <w:rFonts w:hint="eastAsia"/>
          <w:b/>
          <w:sz w:val="28"/>
          <w:szCs w:val="28"/>
        </w:rPr>
        <w:t>焊</w:t>
      </w:r>
      <w:proofErr w:type="gramStart"/>
      <w:r w:rsidR="004B48BA">
        <w:rPr>
          <w:rFonts w:hint="eastAsia"/>
          <w:b/>
          <w:sz w:val="28"/>
          <w:szCs w:val="28"/>
        </w:rPr>
        <w:t>炬</w:t>
      </w:r>
      <w:proofErr w:type="gramEnd"/>
      <w:r w:rsidR="004B48BA">
        <w:rPr>
          <w:rFonts w:hint="eastAsia"/>
          <w:b/>
          <w:sz w:val="28"/>
          <w:szCs w:val="28"/>
        </w:rPr>
        <w:t>（枪）两把</w:t>
      </w:r>
      <w:r w:rsidRPr="003E09C7">
        <w:rPr>
          <w:rFonts w:hint="eastAsia"/>
          <w:b/>
          <w:sz w:val="28"/>
          <w:szCs w:val="28"/>
        </w:rPr>
        <w:t>。</w:t>
      </w:r>
    </w:p>
    <w:sectPr w:rsidR="00F03545" w:rsidRPr="003E09C7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EAF93" w14:textId="77777777" w:rsidR="003E6F6B" w:rsidRDefault="003E6F6B" w:rsidP="00C44354">
      <w:r>
        <w:separator/>
      </w:r>
    </w:p>
  </w:endnote>
  <w:endnote w:type="continuationSeparator" w:id="0">
    <w:p w14:paraId="0F520A49" w14:textId="77777777" w:rsidR="003E6F6B" w:rsidRDefault="003E6F6B" w:rsidP="00C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9C58" w14:textId="77777777" w:rsidR="003E6F6B" w:rsidRDefault="003E6F6B" w:rsidP="00C44354">
      <w:r>
        <w:separator/>
      </w:r>
    </w:p>
  </w:footnote>
  <w:footnote w:type="continuationSeparator" w:id="0">
    <w:p w14:paraId="65E6F72A" w14:textId="77777777" w:rsidR="003E6F6B" w:rsidRDefault="003E6F6B" w:rsidP="00C4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FA5"/>
    <w:multiLevelType w:val="multilevel"/>
    <w:tmpl w:val="31AE1FA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5141AE"/>
    <w:multiLevelType w:val="multilevel"/>
    <w:tmpl w:val="3F5141A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342355"/>
    <w:multiLevelType w:val="multilevel"/>
    <w:tmpl w:val="5B3423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JhNGRjMDNlZTlkOWEzZGJiMDRjMWY4YWE4OGFlYmYifQ=="/>
  </w:docVars>
  <w:rsids>
    <w:rsidRoot w:val="0065616D"/>
    <w:rsid w:val="00016069"/>
    <w:rsid w:val="00043B65"/>
    <w:rsid w:val="00077152"/>
    <w:rsid w:val="000C7C13"/>
    <w:rsid w:val="000E2AEB"/>
    <w:rsid w:val="000F2217"/>
    <w:rsid w:val="000F7FA6"/>
    <w:rsid w:val="001C0B2F"/>
    <w:rsid w:val="001C40B6"/>
    <w:rsid w:val="002005BC"/>
    <w:rsid w:val="0020217C"/>
    <w:rsid w:val="00232AA6"/>
    <w:rsid w:val="002727F0"/>
    <w:rsid w:val="002F544C"/>
    <w:rsid w:val="003754C2"/>
    <w:rsid w:val="003C6AB2"/>
    <w:rsid w:val="003D075C"/>
    <w:rsid w:val="003E09C7"/>
    <w:rsid w:val="003E5E37"/>
    <w:rsid w:val="003E6F6B"/>
    <w:rsid w:val="00445440"/>
    <w:rsid w:val="00466F81"/>
    <w:rsid w:val="00480AAD"/>
    <w:rsid w:val="004B48BA"/>
    <w:rsid w:val="004D1788"/>
    <w:rsid w:val="004E6208"/>
    <w:rsid w:val="004F7C74"/>
    <w:rsid w:val="0054561D"/>
    <w:rsid w:val="00556712"/>
    <w:rsid w:val="0065616D"/>
    <w:rsid w:val="006D1CED"/>
    <w:rsid w:val="006E5250"/>
    <w:rsid w:val="00734467"/>
    <w:rsid w:val="007D2A70"/>
    <w:rsid w:val="007E0504"/>
    <w:rsid w:val="008660FF"/>
    <w:rsid w:val="008E2877"/>
    <w:rsid w:val="008E44FF"/>
    <w:rsid w:val="00922E74"/>
    <w:rsid w:val="0093554B"/>
    <w:rsid w:val="0095617A"/>
    <w:rsid w:val="0095756F"/>
    <w:rsid w:val="00A4168C"/>
    <w:rsid w:val="00A92257"/>
    <w:rsid w:val="00AA1224"/>
    <w:rsid w:val="00AB63E7"/>
    <w:rsid w:val="00AC1716"/>
    <w:rsid w:val="00B452F0"/>
    <w:rsid w:val="00B57B6D"/>
    <w:rsid w:val="00B717A4"/>
    <w:rsid w:val="00B94500"/>
    <w:rsid w:val="00BE0CD0"/>
    <w:rsid w:val="00C02E2B"/>
    <w:rsid w:val="00C3546A"/>
    <w:rsid w:val="00C36543"/>
    <w:rsid w:val="00C44354"/>
    <w:rsid w:val="00C8462D"/>
    <w:rsid w:val="00CB257A"/>
    <w:rsid w:val="00CC4261"/>
    <w:rsid w:val="00CD2390"/>
    <w:rsid w:val="00D40FA4"/>
    <w:rsid w:val="00D65DCD"/>
    <w:rsid w:val="00DB2D10"/>
    <w:rsid w:val="00E21E5A"/>
    <w:rsid w:val="00ED7ACE"/>
    <w:rsid w:val="00F03545"/>
    <w:rsid w:val="00F476AA"/>
    <w:rsid w:val="00FA07C9"/>
    <w:rsid w:val="00FB63E3"/>
    <w:rsid w:val="0C0B13B7"/>
    <w:rsid w:val="1E6E39FD"/>
    <w:rsid w:val="2E503F07"/>
    <w:rsid w:val="30964F3A"/>
    <w:rsid w:val="43871F2D"/>
    <w:rsid w:val="45E701C3"/>
    <w:rsid w:val="7CA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A1ADA"/>
  <w15:docId w15:val="{78DE5B26-4509-4032-8BAF-2BECDE84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381</Words>
  <Characters>2173</Characters>
  <Application>Microsoft Office Word</Application>
  <DocSecurity>0</DocSecurity>
  <Lines>18</Lines>
  <Paragraphs>5</Paragraphs>
  <ScaleCrop>false</ScaleCrop>
  <Company>CQC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</dc:creator>
  <cp:lastModifiedBy>Stiee</cp:lastModifiedBy>
  <cp:revision>9</cp:revision>
  <cp:lastPrinted>2022-10-27T08:39:00Z</cp:lastPrinted>
  <dcterms:created xsi:type="dcterms:W3CDTF">2024-03-18T12:39:00Z</dcterms:created>
  <dcterms:modified xsi:type="dcterms:W3CDTF">2024-07-26T08:26:00Z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61394BDC7A5F40A7A7B8445BB4E5EC2B</vt:lpwstr>
  </property>
</Properties>
</file>