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/>
        <w:jc w:val="center"/>
        <w:rPr>
          <w:rFonts w:eastAsiaTheme="minorEastAsia"/>
          <w:b/>
          <w:bCs/>
          <w:sz w:val="28"/>
          <w:szCs w:val="28"/>
        </w:rPr>
      </w:pPr>
      <w:r>
        <w:rPr>
          <w:rFonts w:hint="eastAsia" w:eastAsiaTheme="minorEastAsia"/>
          <w:b/>
          <w:bCs/>
          <w:sz w:val="28"/>
          <w:szCs w:val="28"/>
        </w:rPr>
        <w:t>附件一：旧版标准GB 30253-2013与新版标准GB 30253-2024主要差异和补充试验要求</w:t>
      </w:r>
    </w:p>
    <w:tbl>
      <w:tblPr>
        <w:tblStyle w:val="7"/>
        <w:tblW w:w="52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53"/>
        <w:gridCol w:w="5042"/>
        <w:gridCol w:w="6005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tblHeader/>
          <w:jc w:val="center"/>
        </w:trPr>
        <w:tc>
          <w:tcPr>
            <w:tcW w:w="398" w:type="pct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涉及认证人员种类</w:t>
            </w:r>
          </w:p>
        </w:tc>
        <w:tc>
          <w:tcPr>
            <w:tcW w:w="389" w:type="pct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新标准</w:t>
            </w:r>
          </w:p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章节</w:t>
            </w:r>
          </w:p>
        </w:tc>
        <w:tc>
          <w:tcPr>
            <w:tcW w:w="1701" w:type="pct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cs="黑体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sz w:val="28"/>
                <w:szCs w:val="28"/>
              </w:rPr>
              <w:t>旧版</w:t>
            </w:r>
            <w:r>
              <w:rPr>
                <w:rFonts w:eastAsiaTheme="minorEastAsia"/>
                <w:b/>
                <w:sz w:val="28"/>
                <w:szCs w:val="28"/>
              </w:rPr>
              <w:t>标准</w:t>
            </w:r>
            <w:r>
              <w:rPr>
                <w:rFonts w:hint="eastAsia" w:eastAsiaTheme="minorEastAsia"/>
                <w:b/>
                <w:sz w:val="28"/>
                <w:szCs w:val="28"/>
              </w:rPr>
              <w:t>GB 30253-2013</w:t>
            </w:r>
          </w:p>
        </w:tc>
        <w:tc>
          <w:tcPr>
            <w:tcW w:w="2026" w:type="pct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eastAsiaTheme="minorEastAsia"/>
                <w:b/>
                <w:sz w:val="28"/>
                <w:szCs w:val="28"/>
              </w:rPr>
              <w:t>新</w:t>
            </w:r>
            <w:r>
              <w:rPr>
                <w:rFonts w:eastAsiaTheme="minorEastAsia"/>
                <w:b/>
                <w:sz w:val="28"/>
                <w:szCs w:val="28"/>
              </w:rPr>
              <w:t>版标准</w:t>
            </w:r>
            <w:r>
              <w:rPr>
                <w:rFonts w:hint="eastAsia" w:eastAsiaTheme="minorEastAsia"/>
                <w:b/>
                <w:sz w:val="28"/>
                <w:szCs w:val="28"/>
              </w:rPr>
              <w:t>GB 30253-2024</w:t>
            </w:r>
          </w:p>
        </w:tc>
        <w:tc>
          <w:tcPr>
            <w:tcW w:w="484" w:type="pct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补充试验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398" w:type="pct"/>
            <w:vMerge w:val="restart"/>
            <w:vAlign w:val="center"/>
          </w:tcPr>
          <w:p>
            <w:pPr>
              <w:pStyle w:val="17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19.02.4611</w:t>
            </w:r>
          </w:p>
          <w:p>
            <w:pPr>
              <w:pStyle w:val="17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认证工作管理人员、认证决定人员、工厂检查人员及特则制定人员</w:t>
            </w:r>
          </w:p>
        </w:tc>
        <w:tc>
          <w:tcPr>
            <w:tcW w:w="389" w:type="pct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1范围</w:t>
            </w:r>
          </w:p>
          <w:p>
            <w:pPr>
              <w:pStyle w:val="17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表1</w:t>
            </w:r>
          </w:p>
        </w:tc>
        <w:tc>
          <w:tcPr>
            <w:tcW w:w="1701" w:type="pct"/>
            <w:vAlign w:val="center"/>
          </w:tcPr>
          <w:p>
            <w:pPr>
              <w:pStyle w:val="17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适用于1140V及以下的电压,50Hz三相交流电源供电,额定功率为0.55kW～375kW极数为2极、4极、6极、8极、10极、12极和16极,单速封闭自扇冷式,连续工作制的异步起动三相永磁同步电动机 </w:t>
            </w:r>
          </w:p>
          <w:p>
            <w:pPr>
              <w:pStyle w:val="17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表1</w:t>
            </w:r>
          </w:p>
        </w:tc>
        <w:tc>
          <w:tcPr>
            <w:tcW w:w="2026" w:type="pct"/>
            <w:vAlign w:val="center"/>
          </w:tcPr>
          <w:p>
            <w:pPr>
              <w:pStyle w:val="11"/>
              <w:tabs>
                <w:tab w:val="center" w:pos="4201"/>
                <w:tab w:val="right" w:leader="dot" w:pos="9298"/>
              </w:tabs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TW"/>
                <w14:textFill>
                  <w14:solidFill>
                    <w14:schemeClr w14:val="tx1"/>
                  </w14:solidFill>
                </w14:textFill>
              </w:rPr>
              <w:t>适用于50 Hz 三相交流电源供电,电压等级为1 140 V及以下,额定功率为 0.55 kW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TW"/>
                <w14:textFill>
                  <w14:solidFill>
                    <w14:schemeClr w14:val="tx1"/>
                  </w14:solidFill>
                </w14:textFill>
              </w:rPr>
              <w:t>1 000 kW,极数为2极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TW"/>
                <w14:textFill>
                  <w14:solidFill>
                    <w14:schemeClr w14:val="tx1"/>
                  </w14:solidFill>
                </w14:textFill>
              </w:rPr>
              <w:t>16极的异步起动三相永磁同步电动机</w:t>
            </w:r>
          </w:p>
          <w:p>
            <w:pPr>
              <w:pStyle w:val="11"/>
              <w:tabs>
                <w:tab w:val="center" w:pos="4201"/>
                <w:tab w:val="right" w:leader="dot" w:pos="9298"/>
              </w:tabs>
              <w:ind w:firstLine="0" w:firstLineChars="0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扩充了适用的功率范围；</w:t>
            </w:r>
          </w:p>
          <w:p>
            <w:pPr>
              <w:pStyle w:val="11"/>
              <w:tabs>
                <w:tab w:val="center" w:pos="4201"/>
                <w:tab w:val="right" w:leader="dot" w:pos="9298"/>
              </w:tabs>
              <w:ind w:firstLine="0" w:firstLineChars="0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更改了</w:t>
            </w:r>
            <w:r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  <w:t>0.55kW</w:t>
            </w: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  <w:lang w:eastAsia="zh-CN"/>
              </w:rPr>
              <w:t>～</w:t>
            </w:r>
            <w:r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  <w:t>375kW</w:t>
            </w: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低压异步起动三相永磁同步电动机能效等级指标；</w:t>
            </w:r>
          </w:p>
          <w:p>
            <w:pPr>
              <w:pStyle w:val="11"/>
              <w:tabs>
                <w:tab w:val="center" w:pos="4201"/>
                <w:tab w:val="right" w:leader="dot" w:pos="9298"/>
              </w:tabs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新增了4</w:t>
            </w:r>
            <w:r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  <w:t>00kW</w:t>
            </w: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  <w:lang w:eastAsia="zh-CN"/>
              </w:rPr>
              <w:t>～</w:t>
            </w:r>
            <w:r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  <w:t>1000kW</w:t>
            </w: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低压异步起动三相永磁同步电动机能效等级指标。</w:t>
            </w:r>
          </w:p>
        </w:tc>
        <w:tc>
          <w:tcPr>
            <w:tcW w:w="484" w:type="pct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398" w:type="pct"/>
            <w:vMerge w:val="continue"/>
            <w:tcBorders/>
            <w:vAlign w:val="center"/>
          </w:tcPr>
          <w:p>
            <w:pPr>
              <w:pStyle w:val="17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1范围</w:t>
            </w:r>
          </w:p>
          <w:p>
            <w:pPr>
              <w:pStyle w:val="17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表8～表10</w:t>
            </w:r>
          </w:p>
        </w:tc>
        <w:tc>
          <w:tcPr>
            <w:tcW w:w="1701" w:type="pct"/>
            <w:vAlign w:val="center"/>
          </w:tcPr>
          <w:p>
            <w:pPr>
              <w:pStyle w:val="17"/>
              <w:rPr>
                <w:rFonts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适用于1000V及以下的电压,变频电源供电,额定功率为0.55 kW～90 kW、额定转速为500 r/min～3000 r/min 的变频驱动永磁同步电动机</w:t>
            </w:r>
          </w:p>
          <w:p>
            <w:pPr>
              <w:pStyle w:val="17"/>
              <w:rPr>
                <w:rFonts w:hint="eastAsia" w:asciiTheme="minorEastAsia" w:hAnsiTheme="minorEastAsia" w:eastAsiaTheme="minorEastAsia"/>
                <w:color w:val="000000" w:themeColor="text1"/>
                <w:sz w:val="17"/>
                <w:szCs w:val="17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7"/>
                <w:szCs w:val="17"/>
                <w:lang w:eastAsia="zh-CN"/>
                <w14:textFill>
                  <w14:solidFill>
                    <w14:schemeClr w14:val="tx1"/>
                  </w14:solidFill>
                </w14:textFill>
              </w:rPr>
              <w:t>表3</w:t>
            </w:r>
          </w:p>
        </w:tc>
        <w:tc>
          <w:tcPr>
            <w:tcW w:w="2026" w:type="pct"/>
            <w:vAlign w:val="center"/>
          </w:tcPr>
          <w:p>
            <w:pPr>
              <w:pStyle w:val="11"/>
              <w:tabs>
                <w:tab w:val="center" w:pos="4201"/>
                <w:tab w:val="right" w:leader="dot" w:pos="9298"/>
              </w:tabs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适用于变频电源供电,电压为 1140 V 及以下,额定功率为 0.55 kW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1250 kW、额定转速为45 r/min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6 000 r/min 的变频调速永磁同步电动机;</w:t>
            </w:r>
          </w:p>
          <w:p>
            <w:pPr>
              <w:pStyle w:val="11"/>
              <w:tabs>
                <w:tab w:val="center" w:pos="4201"/>
                <w:tab w:val="right" w:leader="dot" w:pos="9298"/>
              </w:tabs>
              <w:ind w:firstLine="0" w:firstLineChars="0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扩充了功率及转速范围；</w:t>
            </w:r>
          </w:p>
          <w:p>
            <w:pPr>
              <w:pStyle w:val="11"/>
              <w:tabs>
                <w:tab w:val="center" w:pos="4201"/>
                <w:tab w:val="right" w:leader="dot" w:pos="9298"/>
              </w:tabs>
              <w:ind w:firstLine="0" w:firstLineChars="0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更改了</w:t>
            </w:r>
            <w:r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  <w:t>0.55 kW</w:t>
            </w: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  <w:lang w:eastAsia="zh-CN"/>
              </w:rPr>
              <w:t>～</w:t>
            </w:r>
            <w:r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  <w:t>90 kW</w:t>
            </w: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、额定转速500 r/min</w:t>
            </w: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3000 r/min范围内变频调速低压永磁同步电动机的能效等级指标；</w:t>
            </w:r>
          </w:p>
          <w:p>
            <w:pPr>
              <w:pStyle w:val="11"/>
              <w:tabs>
                <w:tab w:val="center" w:pos="4201"/>
                <w:tab w:val="right" w:leader="dot" w:pos="9298"/>
              </w:tabs>
              <w:ind w:firstLine="0" w:firstLineChars="0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新增了0.55 kW</w:t>
            </w: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90 kW、额定转速</w:t>
            </w:r>
            <w:r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  <w:t>45 r/min</w:t>
            </w: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3000</w:t>
            </w:r>
            <w:r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  <w:t xml:space="preserve"> r/min</w:t>
            </w: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及30</w:t>
            </w:r>
            <w:r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  <w:t>00 r/min</w:t>
            </w: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6</w:t>
            </w:r>
            <w:r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  <w:t>000 r/min</w:t>
            </w: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范围内变频调速低压永磁同步电动机的能效等级指标；</w:t>
            </w:r>
          </w:p>
          <w:p>
            <w:pPr>
              <w:pStyle w:val="11"/>
              <w:tabs>
                <w:tab w:val="center" w:pos="4201"/>
                <w:tab w:val="right" w:leader="dot" w:pos="9298"/>
              </w:tabs>
              <w:ind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新增了110 kW</w:t>
            </w: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1250 kW范围内变频调速低压永磁同步电动机的能效等级指标。</w:t>
            </w:r>
          </w:p>
        </w:tc>
        <w:tc>
          <w:tcPr>
            <w:tcW w:w="484" w:type="pct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398" w:type="pct"/>
            <w:vMerge w:val="continue"/>
            <w:tcBorders/>
            <w:vAlign w:val="center"/>
          </w:tcPr>
          <w:p>
            <w:pPr>
              <w:pStyle w:val="17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1范围</w:t>
            </w:r>
          </w:p>
          <w:p>
            <w:pPr>
              <w:pStyle w:val="17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表29</w:t>
            </w:r>
          </w:p>
        </w:tc>
        <w:tc>
          <w:tcPr>
            <w:tcW w:w="1701" w:type="pct"/>
            <w:vAlign w:val="center"/>
          </w:tcPr>
          <w:p>
            <w:pPr>
              <w:pStyle w:val="17"/>
              <w:rPr>
                <w:rFonts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适用于1000V及以下的电压,变频电源供电,额定功率为0.55kW～110kW电梯用永磁同步电动机</w:t>
            </w:r>
          </w:p>
          <w:p>
            <w:pPr>
              <w:pStyle w:val="17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表2</w:t>
            </w:r>
          </w:p>
        </w:tc>
        <w:tc>
          <w:tcPr>
            <w:tcW w:w="2026" w:type="pct"/>
            <w:vAlign w:val="center"/>
          </w:tcPr>
          <w:p>
            <w:pPr>
              <w:pStyle w:val="11"/>
              <w:tabs>
                <w:tab w:val="center" w:pos="4201"/>
                <w:tab w:val="right" w:leader="dot" w:pos="9298"/>
              </w:tabs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适用于变频电源供电,电压为1140V及以下,额定功率为 0.55 kW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 kW 电梯用永磁同步电动机。</w:t>
            </w:r>
          </w:p>
          <w:p>
            <w:pPr>
              <w:pStyle w:val="11"/>
              <w:tabs>
                <w:tab w:val="center" w:pos="4201"/>
                <w:tab w:val="right" w:leader="dot" w:pos="9298"/>
              </w:tabs>
              <w:ind w:firstLine="0" w:firstLineChars="0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变更了电压的适用范围；</w:t>
            </w:r>
          </w:p>
          <w:p>
            <w:pPr>
              <w:pStyle w:val="11"/>
              <w:tabs>
                <w:tab w:val="center" w:pos="4201"/>
                <w:tab w:val="right" w:leader="dot" w:pos="9298"/>
              </w:tabs>
              <w:ind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更改了电梯用永磁同步电动机的能效等级指标。</w:t>
            </w:r>
          </w:p>
        </w:tc>
        <w:tc>
          <w:tcPr>
            <w:tcW w:w="484" w:type="pct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398" w:type="pct"/>
            <w:vMerge w:val="continue"/>
            <w:tcBorders/>
            <w:vAlign w:val="center"/>
          </w:tcPr>
          <w:p>
            <w:pPr>
              <w:pStyle w:val="17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1范围</w:t>
            </w:r>
          </w:p>
          <w:p>
            <w:pPr>
              <w:pStyle w:val="17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表2～表7</w:t>
            </w:r>
          </w:p>
        </w:tc>
        <w:tc>
          <w:tcPr>
            <w:tcW w:w="1701" w:type="pct"/>
            <w:vAlign w:val="center"/>
          </w:tcPr>
          <w:p>
            <w:pPr>
              <w:pStyle w:val="17"/>
              <w:rPr>
                <w:rFonts w:asciiTheme="minorEastAsia" w:hAnsiTheme="minorEastAsia" w:eastAsiaTheme="minorEastAsia"/>
                <w:color w:val="000000" w:themeColor="text1"/>
                <w:sz w:val="17"/>
                <w:szCs w:val="17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7"/>
                <w:szCs w:val="17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026" w:type="pct"/>
            <w:vAlign w:val="center"/>
          </w:tcPr>
          <w:p>
            <w:pPr>
              <w:pStyle w:val="15"/>
              <w:numPr>
                <w:ilvl w:val="0"/>
                <w:numId w:val="0"/>
              </w:numPr>
              <w:rPr>
                <w:rFonts w:cs="宋体" w:asciiTheme="minorEastAsia" w:hAnsiTheme="minorEastAsia" w:eastAsiaTheme="minorEastAsia"/>
                <w:color w:val="000000" w:themeColor="text1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lang w:eastAsia="zh-TW"/>
                <w14:textFill>
                  <w14:solidFill>
                    <w14:schemeClr w14:val="tx1"/>
                  </w14:solidFill>
                </w14:textFill>
              </w:rPr>
              <w:t>适用于50 Hz 三相交流电源供电,电压为3kV(3.3 kV)和6kV、10 kV,冷却方法为 IC81W、IC86W、IC71W(IC3W7)、IC411、IC416、IC511、IC611、IC516、IC616、IC666的高压异步起动三相永磁同步电动机</w:t>
            </w:r>
          </w:p>
          <w:p>
            <w:pPr>
              <w:pStyle w:val="15"/>
              <w:numPr>
                <w:ilvl w:val="0"/>
                <w:numId w:val="0"/>
              </w:numPr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</w:rPr>
              <w:t>新增了不同冷却方法、不同电压下异步起动高压永磁同步电动机的能效等级指标。</w:t>
            </w:r>
          </w:p>
        </w:tc>
        <w:tc>
          <w:tcPr>
            <w:tcW w:w="484" w:type="pct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TW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398" w:type="pct"/>
            <w:vMerge w:val="continue"/>
            <w:tcBorders/>
            <w:vAlign w:val="center"/>
          </w:tcPr>
          <w:p>
            <w:pPr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 范围</w:t>
            </w:r>
          </w:p>
          <w:p>
            <w:pPr>
              <w:pStyle w:val="17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表11～表28</w:t>
            </w:r>
          </w:p>
        </w:tc>
        <w:tc>
          <w:tcPr>
            <w:tcW w:w="1701" w:type="pct"/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026" w:type="pct"/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适用于变频电源供电,电压为 3kV(3.3kV)和 6kV、10kV,冷却方法为 IC81W、IC86W、IC71W(IC3W7)、IC411、IC416、IC511、IC611、IC516、IC616、IC666 的变频调速永磁同步电动机;</w:t>
            </w:r>
          </w:p>
          <w:p>
            <w:pPr>
              <w:rPr>
                <w:rFonts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18"/>
                <w:szCs w:val="18"/>
              </w:rPr>
              <w:t>新增了不同冷却方法、不同电压压下变频调速高压永磁同步电动机的能效等级指标。</w:t>
            </w:r>
          </w:p>
        </w:tc>
        <w:tc>
          <w:tcPr>
            <w:tcW w:w="484" w:type="pct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398" w:type="pct"/>
            <w:vMerge w:val="continue"/>
            <w:tcBorders/>
            <w:vAlign w:val="center"/>
          </w:tcPr>
          <w:p>
            <w:pPr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 规范性引用文件</w:t>
            </w:r>
          </w:p>
        </w:tc>
        <w:tc>
          <w:tcPr>
            <w:tcW w:w="1701" w:type="pct"/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GB/T 755-2008旋转电机定额和性能</w:t>
            </w: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GB</w:t>
            </w:r>
            <w: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/T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10068-2008轴中心高为56mm及以上电机的机械振动振动的测量、评定及限值</w:t>
            </w: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GB</w:t>
            </w:r>
            <w: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/T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10069.3-2008旋转电机噪声测定方法及限值第3部分:噪声限值</w:t>
            </w: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GB/T 22669-2008三相永磁同步电动机试验方法</w:t>
            </w: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GB/T 22670-2008变频器供电二相笼型感应电动机试验方法</w:t>
            </w:r>
          </w:p>
        </w:tc>
        <w:tc>
          <w:tcPr>
            <w:tcW w:w="2026" w:type="pct"/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GB/T 755 旋转电机 定额和性能</w:t>
            </w: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GB/T 22669-2008三相永磁同步电动机试验方法</w:t>
            </w: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GB/T 32877-2022变频器供电交流电动机确定损耗和效率的特定试验方法</w:t>
            </w:r>
          </w:p>
          <w:p>
            <w:pPr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用</w:t>
            </w:r>
            <w:r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  <w:t>GB/T 32877</w:t>
            </w: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标准替换了</w:t>
            </w:r>
            <w:r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  <w:t>GB/T 22670</w:t>
            </w: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试验方法标准；</w:t>
            </w: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删除了GB/T 10068和GB/T 10069.3引用标准。</w:t>
            </w:r>
          </w:p>
        </w:tc>
        <w:tc>
          <w:tcPr>
            <w:tcW w:w="484" w:type="pct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398" w:type="pct"/>
            <w:vMerge w:val="continue"/>
            <w:tcBorders/>
            <w:vAlign w:val="center"/>
          </w:tcPr>
          <w:p>
            <w:pPr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 术语和定义</w:t>
            </w:r>
          </w:p>
        </w:tc>
        <w:tc>
          <w:tcPr>
            <w:tcW w:w="1701" w:type="pct"/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3.4 永磁同步电动机目标能效限定值</w:t>
            </w:r>
          </w:p>
        </w:tc>
        <w:tc>
          <w:tcPr>
            <w:tcW w:w="2026" w:type="pct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  <w:p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bidi="ar"/>
              </w:rPr>
              <w:t>删除了永磁同步电动机目标能效限定值</w:t>
            </w:r>
          </w:p>
        </w:tc>
        <w:tc>
          <w:tcPr>
            <w:tcW w:w="484" w:type="pct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398" w:type="pct"/>
            <w:vMerge w:val="continue"/>
            <w:tcBorders/>
            <w:vAlign w:val="center"/>
          </w:tcPr>
          <w:p>
            <w:pPr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 术语和定义</w:t>
            </w:r>
          </w:p>
        </w:tc>
        <w:tc>
          <w:tcPr>
            <w:tcW w:w="1701" w:type="pct"/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3.5 永磁同步电动机节能评价值</w:t>
            </w:r>
          </w:p>
        </w:tc>
        <w:tc>
          <w:tcPr>
            <w:tcW w:w="2026" w:type="pct"/>
            <w:vAlign w:val="center"/>
          </w:tcPr>
          <w:p>
            <w:pPr>
              <w:pStyle w:val="11"/>
              <w:tabs>
                <w:tab w:val="center" w:pos="4201"/>
                <w:tab w:val="right" w:leader="dot" w:pos="9298"/>
              </w:tabs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  <w:p>
            <w:pPr>
              <w:pStyle w:val="11"/>
              <w:tabs>
                <w:tab w:val="center" w:pos="4201"/>
                <w:tab w:val="right" w:leader="dot" w:pos="9298"/>
              </w:tabs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删除了永磁同步电动机节能评价值</w:t>
            </w:r>
          </w:p>
        </w:tc>
        <w:tc>
          <w:tcPr>
            <w:tcW w:w="484" w:type="pct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398" w:type="pct"/>
            <w:vMerge w:val="continue"/>
            <w:tcBorders/>
            <w:vAlign w:val="center"/>
          </w:tcPr>
          <w:p>
            <w:pPr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 技术要求</w:t>
            </w:r>
          </w:p>
        </w:tc>
        <w:tc>
          <w:tcPr>
            <w:tcW w:w="1701" w:type="pct"/>
            <w:vAlign w:val="center"/>
          </w:tcPr>
          <w:p>
            <w:pPr>
              <w:pStyle w:val="16"/>
              <w:spacing w:line="240" w:lineRule="auto"/>
              <w:rPr>
                <w:rFonts w:cs="Times New Roman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4.1 基本技术要求</w:t>
            </w:r>
          </w:p>
          <w:p>
            <w:pPr>
              <w:pStyle w:val="16"/>
              <w:spacing w:line="240" w:lineRule="auto"/>
              <w:rPr>
                <w:rFonts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永磁同步电动机的性能、安全性能、防爆性能、噪声和振动要求应分别符合GB755-2008、GB 10068-2008、GB 10069.3-2008 等相关标准。</w:t>
            </w:r>
          </w:p>
        </w:tc>
        <w:tc>
          <w:tcPr>
            <w:tcW w:w="2026" w:type="pct"/>
            <w:vAlign w:val="center"/>
          </w:tcPr>
          <w:p>
            <w:pPr>
              <w:pStyle w:val="11"/>
              <w:tabs>
                <w:tab w:val="center" w:pos="4201"/>
                <w:tab w:val="right" w:leader="dot" w:pos="9298"/>
              </w:tabs>
              <w:ind w:firstLine="0" w:firstLineChars="0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  <w:p>
            <w:pPr>
              <w:pStyle w:val="11"/>
              <w:tabs>
                <w:tab w:val="center" w:pos="4201"/>
                <w:tab w:val="right" w:leader="dot" w:pos="9298"/>
              </w:tabs>
              <w:ind w:firstLine="0" w:firstLineChars="0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删除了“基本技术要求”的条款及相关内容。</w:t>
            </w:r>
          </w:p>
        </w:tc>
        <w:tc>
          <w:tcPr>
            <w:tcW w:w="484" w:type="pct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398" w:type="pct"/>
            <w:vMerge w:val="continue"/>
            <w:tcBorders/>
            <w:vAlign w:val="center"/>
          </w:tcPr>
          <w:p>
            <w:pPr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 试验方法</w:t>
            </w:r>
          </w:p>
        </w:tc>
        <w:tc>
          <w:tcPr>
            <w:tcW w:w="1701" w:type="pct"/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异步起动三相永磁同步电动机电动机效率应按GB/T22669-2008中10.2.2的“测量输入-输出功率的损耗分析法(B 法)”确定。</w:t>
            </w:r>
          </w:p>
        </w:tc>
        <w:tc>
          <w:tcPr>
            <w:tcW w:w="2026" w:type="pct"/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各电压等级异步起动三相永磁同步电动机，应在额定功率下按照 GB/T 22669-2008 中10.2.1的 A法(输入-输出法)测量效率。</w:t>
            </w: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变更了异步起动三相永磁同步电动机效率检测的试验方法</w:t>
            </w:r>
          </w:p>
        </w:tc>
        <w:tc>
          <w:tcPr>
            <w:tcW w:w="484" w:type="pct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398" w:type="pct"/>
            <w:vMerge w:val="continue"/>
            <w:tcBorders/>
            <w:vAlign w:val="center"/>
          </w:tcPr>
          <w:p>
            <w:pPr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 试验方法</w:t>
            </w:r>
          </w:p>
        </w:tc>
        <w:tc>
          <w:tcPr>
            <w:tcW w:w="170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变频驱动永磁同步电动机的效率参照GB/T22670-2008中10.2.1“直接法--输人-输出法(A法)”确定。</w:t>
            </w:r>
          </w:p>
        </w:tc>
        <w:tc>
          <w:tcPr>
            <w:tcW w:w="2026" w:type="pct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各电压等级变频调速永磁同步电动机，应在额定转矩和 90%额定转速下按照 GB/T 32877- 2022中6.2的A法(直接测量输入输出法)测量效率。</w:t>
            </w: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变更了变频调速永磁同步电动机效率检测依据的标准、试验方法、效率考核的负载点。</w:t>
            </w:r>
          </w:p>
        </w:tc>
        <w:tc>
          <w:tcPr>
            <w:tcW w:w="484" w:type="pct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398" w:type="pct"/>
            <w:vMerge w:val="continue"/>
            <w:tcBorders/>
            <w:vAlign w:val="center"/>
          </w:tcPr>
          <w:p>
            <w:pPr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 试验方法</w:t>
            </w:r>
          </w:p>
        </w:tc>
        <w:tc>
          <w:tcPr>
            <w:tcW w:w="1701" w:type="pct"/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电梯用永磁同步电动机的效率参照GB/T22670-2008中10.2.1“直接法--输人-输出法(A法)”确定。</w:t>
            </w:r>
          </w:p>
        </w:tc>
        <w:tc>
          <w:tcPr>
            <w:tcW w:w="2026" w:type="pct"/>
            <w:vAlign w:val="center"/>
          </w:tcPr>
          <w:p>
            <w:pPr>
              <w:pStyle w:val="11"/>
              <w:tabs>
                <w:tab w:val="center" w:pos="4201"/>
                <w:tab w:val="right" w:leader="dot" w:pos="9298"/>
              </w:tabs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电梯用永磁同步电动机,应在额定功率下按照 GB/T 32877-2022中6.2的A法(直接测量输入输出法)测量效率</w:t>
            </w:r>
          </w:p>
          <w:p>
            <w:pPr>
              <w:pStyle w:val="11"/>
              <w:tabs>
                <w:tab w:val="center" w:pos="4201"/>
                <w:tab w:val="right" w:leader="dot" w:pos="9298"/>
              </w:tabs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2"/>
                <w:sz w:val="18"/>
                <w:szCs w:val="18"/>
              </w:rPr>
              <w:t>变更了电梯用永磁同步电动机效率检测依据的标准</w:t>
            </w:r>
          </w:p>
        </w:tc>
        <w:tc>
          <w:tcPr>
            <w:tcW w:w="484" w:type="pct"/>
            <w:vAlign w:val="center"/>
          </w:tcPr>
          <w:p>
            <w:pPr>
              <w:pStyle w:val="17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102AD"/>
    <w:multiLevelType w:val="multilevel"/>
    <w:tmpl w:val="079102AD"/>
    <w:lvl w:ilvl="0" w:tentative="0">
      <w:start w:val="1"/>
      <w:numFmt w:val="decimal"/>
      <w:pStyle w:val="14"/>
      <w:suff w:val="nothing"/>
      <w:lvlText w:val="注%1："/>
      <w:lvlJc w:val="left"/>
      <w:pPr>
        <w:ind w:left="811" w:hanging="448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">
    <w:nsid w:val="1DBF583A"/>
    <w:multiLevelType w:val="multilevel"/>
    <w:tmpl w:val="1DBF583A"/>
    <w:lvl w:ilvl="0" w:tentative="0">
      <w:start w:val="1"/>
      <w:numFmt w:val="decimal"/>
      <w:pStyle w:val="15"/>
      <w:suff w:val="nothing"/>
      <w:lvlText w:val="注%1："/>
      <w:lvlJc w:val="left"/>
      <w:pPr>
        <w:ind w:left="811" w:hanging="448"/>
      </w:pPr>
      <w:rPr>
        <w:rFonts w:hint="eastAsia" w:ascii="黑体" w:hAns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1"/>
        </w:tabs>
        <w:ind w:left="1174" w:hanging="630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1"/>
        </w:tabs>
        <w:ind w:left="1174" w:hanging="63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1"/>
        </w:tabs>
        <w:ind w:left="1174" w:hanging="630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1"/>
        </w:tabs>
        <w:ind w:left="1174" w:hanging="630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1"/>
        </w:tabs>
        <w:ind w:left="1174" w:hanging="630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1"/>
        </w:tabs>
        <w:ind w:left="1174" w:hanging="630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1"/>
        </w:tabs>
        <w:ind w:left="1174" w:hanging="630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1"/>
        </w:tabs>
        <w:ind w:left="1174" w:hanging="630"/>
      </w:pPr>
      <w:rPr>
        <w:rFonts w:hint="eastAsia"/>
        <w:vertAlign w:val="baseline"/>
      </w:rPr>
    </w:lvl>
  </w:abstractNum>
  <w:abstractNum w:abstractNumId="2">
    <w:nsid w:val="6DBF04F4"/>
    <w:multiLevelType w:val="multilevel"/>
    <w:tmpl w:val="6DBF04F4"/>
    <w:lvl w:ilvl="0" w:tentative="0">
      <w:start w:val="1"/>
      <w:numFmt w:val="none"/>
      <w:pStyle w:val="12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0MzEyNzU4Mzk2YzMzYmIyYjBkZTdkZWFlMzg2NmIifQ=="/>
  </w:docVars>
  <w:rsids>
    <w:rsidRoot w:val="118B1298"/>
    <w:rsid w:val="00011C0A"/>
    <w:rsid w:val="000150B3"/>
    <w:rsid w:val="00075DCF"/>
    <w:rsid w:val="000C4EA2"/>
    <w:rsid w:val="00106D14"/>
    <w:rsid w:val="00111455"/>
    <w:rsid w:val="0011340C"/>
    <w:rsid w:val="00123275"/>
    <w:rsid w:val="001333F4"/>
    <w:rsid w:val="00134354"/>
    <w:rsid w:val="00135D71"/>
    <w:rsid w:val="001C4436"/>
    <w:rsid w:val="001F15C5"/>
    <w:rsid w:val="00213038"/>
    <w:rsid w:val="00274215"/>
    <w:rsid w:val="00286A70"/>
    <w:rsid w:val="003416C8"/>
    <w:rsid w:val="003479FB"/>
    <w:rsid w:val="0037459D"/>
    <w:rsid w:val="00375A44"/>
    <w:rsid w:val="00381662"/>
    <w:rsid w:val="003F4C4F"/>
    <w:rsid w:val="00416649"/>
    <w:rsid w:val="00421421"/>
    <w:rsid w:val="0043062F"/>
    <w:rsid w:val="00442014"/>
    <w:rsid w:val="0048116B"/>
    <w:rsid w:val="004B1164"/>
    <w:rsid w:val="004C3269"/>
    <w:rsid w:val="004D6295"/>
    <w:rsid w:val="004E3BA0"/>
    <w:rsid w:val="004F3462"/>
    <w:rsid w:val="0050625E"/>
    <w:rsid w:val="00531532"/>
    <w:rsid w:val="00574DCD"/>
    <w:rsid w:val="005858F1"/>
    <w:rsid w:val="00597F08"/>
    <w:rsid w:val="005F14DF"/>
    <w:rsid w:val="00606487"/>
    <w:rsid w:val="00640A61"/>
    <w:rsid w:val="00643D7B"/>
    <w:rsid w:val="00643FB9"/>
    <w:rsid w:val="0067343B"/>
    <w:rsid w:val="006A42C6"/>
    <w:rsid w:val="006C6333"/>
    <w:rsid w:val="007862D4"/>
    <w:rsid w:val="0078689F"/>
    <w:rsid w:val="007A2188"/>
    <w:rsid w:val="007D5C4A"/>
    <w:rsid w:val="007F0278"/>
    <w:rsid w:val="007F163C"/>
    <w:rsid w:val="007F400A"/>
    <w:rsid w:val="007F411B"/>
    <w:rsid w:val="007F7460"/>
    <w:rsid w:val="00812131"/>
    <w:rsid w:val="0081670A"/>
    <w:rsid w:val="00817BAC"/>
    <w:rsid w:val="00821B96"/>
    <w:rsid w:val="00866218"/>
    <w:rsid w:val="00881F47"/>
    <w:rsid w:val="00892FD9"/>
    <w:rsid w:val="00893F85"/>
    <w:rsid w:val="008A50C5"/>
    <w:rsid w:val="008E3F22"/>
    <w:rsid w:val="008F444A"/>
    <w:rsid w:val="008F4B34"/>
    <w:rsid w:val="00946C56"/>
    <w:rsid w:val="00951F43"/>
    <w:rsid w:val="00990BAF"/>
    <w:rsid w:val="00993438"/>
    <w:rsid w:val="009A2EC7"/>
    <w:rsid w:val="009A335A"/>
    <w:rsid w:val="009C2E21"/>
    <w:rsid w:val="009F2580"/>
    <w:rsid w:val="00A10FEC"/>
    <w:rsid w:val="00A137B6"/>
    <w:rsid w:val="00A33E06"/>
    <w:rsid w:val="00B32A98"/>
    <w:rsid w:val="00B3608A"/>
    <w:rsid w:val="00B615D4"/>
    <w:rsid w:val="00B84E27"/>
    <w:rsid w:val="00BB0C00"/>
    <w:rsid w:val="00BC56A6"/>
    <w:rsid w:val="00C11B00"/>
    <w:rsid w:val="00C47E78"/>
    <w:rsid w:val="00C61393"/>
    <w:rsid w:val="00CD064A"/>
    <w:rsid w:val="00CD5EA9"/>
    <w:rsid w:val="00CE0B8E"/>
    <w:rsid w:val="00D6127D"/>
    <w:rsid w:val="00DC1A0C"/>
    <w:rsid w:val="00E33A21"/>
    <w:rsid w:val="00E504CE"/>
    <w:rsid w:val="00E73267"/>
    <w:rsid w:val="00E806EA"/>
    <w:rsid w:val="00EA00D4"/>
    <w:rsid w:val="00EA5571"/>
    <w:rsid w:val="00EB1A2A"/>
    <w:rsid w:val="00EE7917"/>
    <w:rsid w:val="00F21DAA"/>
    <w:rsid w:val="00F530E6"/>
    <w:rsid w:val="00FB099F"/>
    <w:rsid w:val="00FD7980"/>
    <w:rsid w:val="00FF5E7E"/>
    <w:rsid w:val="03BB7FBE"/>
    <w:rsid w:val="06434462"/>
    <w:rsid w:val="0F306992"/>
    <w:rsid w:val="11853416"/>
    <w:rsid w:val="118B1298"/>
    <w:rsid w:val="11A22C6D"/>
    <w:rsid w:val="21E831A3"/>
    <w:rsid w:val="26993031"/>
    <w:rsid w:val="2A5C0611"/>
    <w:rsid w:val="33646DE7"/>
    <w:rsid w:val="352D3459"/>
    <w:rsid w:val="4A8B543B"/>
    <w:rsid w:val="543842E0"/>
    <w:rsid w:val="5E1812AB"/>
    <w:rsid w:val="5F0725C4"/>
    <w:rsid w:val="5F3D79DD"/>
    <w:rsid w:val="613C1196"/>
    <w:rsid w:val="62312A9A"/>
    <w:rsid w:val="6ACA7BFD"/>
    <w:rsid w:val="6E935777"/>
    <w:rsid w:val="71473715"/>
    <w:rsid w:val="71841A6B"/>
    <w:rsid w:val="78EF49DB"/>
    <w:rsid w:val="7A843EAC"/>
    <w:rsid w:val="7B4D0FEC"/>
    <w:rsid w:val="7F27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nhideWhenUsed/>
    <w:qFormat/>
    <w:uiPriority w:val="0"/>
    <w:pPr>
      <w:jc w:val="left"/>
    </w:pPr>
  </w:style>
  <w:style w:type="paragraph" w:styleId="3">
    <w:name w:val="Balloon Text"/>
    <w:basedOn w:val="1"/>
    <w:link w:val="24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3"/>
    <w:qFormat/>
    <w:uiPriority w:val="0"/>
    <w:rPr>
      <w:b/>
      <w:bCs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paragraph" w:customStyle="1" w:styleId="10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">
    <w:name w:val="注："/>
    <w:next w:val="11"/>
    <w:qFormat/>
    <w:uiPriority w:val="0"/>
    <w:pPr>
      <w:widowControl w:val="0"/>
      <w:numPr>
        <w:ilvl w:val="0"/>
        <w:numId w:val="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3">
    <w:name w:val="注：（正文）"/>
    <w:basedOn w:val="12"/>
    <w:next w:val="11"/>
    <w:qFormat/>
    <w:uiPriority w:val="0"/>
  </w:style>
  <w:style w:type="paragraph" w:customStyle="1" w:styleId="14">
    <w:name w:val="注×："/>
    <w:qFormat/>
    <w:uiPriority w:val="0"/>
    <w:pPr>
      <w:widowControl w:val="0"/>
      <w:numPr>
        <w:ilvl w:val="0"/>
        <w:numId w:val="2"/>
      </w:numPr>
      <w:autoSpaceDE w:val="0"/>
      <w:autoSpaceDN w:val="0"/>
      <w:jc w:val="both"/>
    </w:pPr>
    <w:rPr>
      <w:rFonts w:ascii="黑体" w:hAnsi="Times New Roman" w:eastAsia="宋体" w:cs="Times New Roman"/>
      <w:sz w:val="18"/>
      <w:szCs w:val="18"/>
      <w:lang w:val="en-US" w:eastAsia="zh-CN" w:bidi="ar-SA"/>
    </w:rPr>
  </w:style>
  <w:style w:type="paragraph" w:customStyle="1" w:styleId="15">
    <w:name w:val="注×：（正文）"/>
    <w:qFormat/>
    <w:uiPriority w:val="0"/>
    <w:pPr>
      <w:numPr>
        <w:ilvl w:val="0"/>
        <w:numId w:val="3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6">
    <w:name w:val="Body text|1"/>
    <w:basedOn w:val="1"/>
    <w:qFormat/>
    <w:uiPriority w:val="0"/>
    <w:pPr>
      <w:spacing w:line="329" w:lineRule="auto"/>
    </w:pPr>
    <w:rPr>
      <w:rFonts w:ascii="宋体" w:hAnsi="宋体" w:cs="宋体"/>
      <w:sz w:val="20"/>
      <w:lang w:val="zh-TW" w:eastAsia="zh-TW" w:bidi="zh-TW"/>
    </w:rPr>
  </w:style>
  <w:style w:type="paragraph" w:customStyle="1" w:styleId="17">
    <w:name w:val="Body text|3"/>
    <w:basedOn w:val="1"/>
    <w:uiPriority w:val="0"/>
    <w:rPr>
      <w:rFonts w:ascii="宋体" w:hAnsi="宋体" w:cs="宋体"/>
      <w:sz w:val="18"/>
      <w:szCs w:val="18"/>
      <w:lang w:val="zh-TW" w:eastAsia="zh-TW" w:bidi="zh-TW"/>
    </w:rPr>
  </w:style>
  <w:style w:type="character" w:customStyle="1" w:styleId="18">
    <w:name w:val="页眉 字符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脚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2">
    <w:name w:val="批注文字 字符"/>
    <w:basedOn w:val="8"/>
    <w:link w:val="2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23">
    <w:name w:val="批注主题 字符"/>
    <w:basedOn w:val="22"/>
    <w:link w:val="6"/>
    <w:qFormat/>
    <w:uiPriority w:val="0"/>
    <w:rPr>
      <w:rFonts w:ascii="Times New Roman" w:hAnsi="Times New Roman" w:eastAsia="宋体" w:cs="Times New Roman"/>
      <w:b/>
      <w:bCs/>
      <w:kern w:val="2"/>
      <w:sz w:val="21"/>
    </w:rPr>
  </w:style>
  <w:style w:type="character" w:customStyle="1" w:styleId="24">
    <w:name w:val="批注框文本 字符"/>
    <w:basedOn w:val="8"/>
    <w:link w:val="3"/>
    <w:semiHidden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CEPRI</Company>
  <Pages>4</Pages>
  <Words>1539</Words>
  <Characters>2188</Characters>
  <Lines>17</Lines>
  <Paragraphs>4</Paragraphs>
  <TotalTime>1</TotalTime>
  <ScaleCrop>false</ScaleCrop>
  <LinksUpToDate>false</LinksUpToDate>
  <CharactersWithSpaces>2280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2024-10-23T00:20:00Z</dcterms:created>
  <dc:creator>86139</dc:creator>
  <cp:lastModifiedBy>陈佳</cp:lastModifiedBy>
  <dcterms:modified xsi:type="dcterms:W3CDTF">2024-12-17T00:57:51Z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4DC49A2E7B7449858280FDF60A81F470_13</vt:lpwstr>
  </property>
  <property fmtid="{D5CDD505-2E9C-101B-9397-08002B2CF9AE}" pid="4" name="KSOSaveFontToCloudKey">
    <vt:lpwstr>590610_btnclosed</vt:lpwstr>
  </property>
</Properties>
</file>